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HG.2004.94 vom 27. Juni 2005</w:t>
      </w:r>
    </w:p>
    <w:p>
      <w:r>
        <w:t>SG Gerichte, 2005-06-27, DE</w:t>
      </w:r>
    </w:p>
    <w:p>
      <w:r>
        <w:rPr>
          <w:b/>
        </w:rPr>
        <w:t xml:space="preserve">Quelle: </w:t>
      </w:r>
      <w:r>
        <w:t>https://mcp.opencaselaw.ch/entscheid/sg_gerichte_HG.2004.94</w:t>
      </w:r>
    </w:p>
    <w:p>
      <w:r>
        <w:t>FR: SG_GERICHTE HG.2004.94 du 27 juin 2005</w:t>
      </w:r>
    </w:p>
    <w:p>
      <w:r>
        <w:t>IT: SG_GERICHTE HG.2004.94 del 27 giugno 2005</w:t>
      </w:r>
    </w:p>
    <w:p>
      <w:pPr>
        <w:pStyle w:val="Heading2"/>
      </w:pPr>
      <w:r>
        <w:t>Regeste</w:t>
      </w:r>
    </w:p>
    <w:p>
      <w:r>
        <w:t>Art. 2 LugÜ (SR 0.275.11); Art. 2 und Art. 112 Abs. 1 IPRG (SR 291); Art. 14 Abs. 1 ZPO (sGS 961.2); Art. 9 Abs. 1 des Abkommens zwischen der schweizerischen Eidgenossenschaft und dem Fürstentum Liechtenstein über die Anerkennung und Vollstreckung von gerichtlichen Entscheidungen und Schiedssprüchen in Zivilsachen vom 25. April 1968 (SR 0.276.195.141). Nachdem der Beklagte seinen Wohnsitz (bzw. als Einzelfirma ihren Sitz gemäss Art. 53 LugÜ) in der Schweiz hat, welche Vertragsstaat des LugÜ ist, muss er in seinem Wohnsitzstaat verklagt werden. Bei Arbeitnehmerüberlassungsverträgen stehen sich zwei gleich geordnete Unternehmen gegenüber. Die Einrede der Litispendenz ist nicht begründet, wenn keine Identität des Streitgegenstandes vorliegt. Ausführungen, weshalb die von der Klägerin geltend gemachten und vom Beklagten teilweise anerkannten Forderungen aus den Arbeitnehmerüberlassungsverträgen ausgewiesen sind. Gegenforderungen aus dem Arbeitsvertrag können vom Beklagten nicht verrechnet werden, nachdem die gültig vereinbarten AGB ein Verrechnungsverbot enthalten (Handelsgericht, 27. Juni 2005, HG.2004.94).</w:t>
      </w:r>
    </w:p>
    <w:p>
      <w:pPr>
        <w:pStyle w:val="Heading2"/>
      </w:pPr>
      <w:r>
        <w:t>Volltext</w:t>
      </w:r>
    </w:p>
    <w:p>
      <w:r>
        <w:t>St.Gallen Handelsgericht 27.06.2005 HG.2004.94 Saint-Gall Handelsgericht 27.06.2005 HG.2004.94 San Gallo Handelsgericht 27.06.2005 HG.2004.94</w:t>
      </w:r>
    </w:p>
    <w:p>
      <w:r>
        <w:t>Art. 2 LugÜ (SR 0.275.11); Art. 2 und Art. 112 Abs. 1 IPRG (SR 291); Art. 14 Abs. 1 ZPO (sGS 961.2); Art. 9 Abs. 1 des Abkommens zwischen der schweizerischen Eidgenossenschaft und dem Fürstentum Liechtenstein über die Anerkennung und Vollstreckung von gerichtlichen Entscheidungen und Schiedssprüchen in Zivilsachen vom 25. April 1968 (SR 0.276.195.141). Nachdem der Beklagte seinen Wohnsitz (bzw. als Einzelfirma ihren Sitz gemäss Art. 53 LugÜ) in der Schweiz hat, welche Vertragsstaat des LugÜ ist, muss er in seinem Wohnsitzstaat verklagt werden. Bei Arbeitnehmerüberlassungsverträgen stehen sich zwei gleich geordnete Unternehmen gegenüber. Die Einrede der Litispendenz ist nicht begründet, wenn keine Identität des Streitgegenstandes vorliegt. Ausführungen, weshalb die von der Klägerin geltend gemachten und vom Beklagten teilweise anerkannten Forderungen aus den Arbeitnehmerüberlassungsverträgen ausgewiesen sind. Gegenforderungen aus dem Arbeitsvertrag können vom Beklagten nicht verrechnet werden, nachdem die gültig vereinbarten AGB ein Verrechnungsverbot enthalten (Handelsgericht, 27. Juni 2005, HG.2004.94).</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