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FS.2016.13 vom 7. Februar 2018</w:t>
      </w:r>
    </w:p>
    <w:p>
      <w:r>
        <w:t>SG Gerichte, 2018-02-07, DE</w:t>
      </w:r>
    </w:p>
    <w:p>
      <w:r>
        <w:rPr>
          <w:b/>
        </w:rPr>
        <w:t xml:space="preserve">Quelle: </w:t>
      </w:r>
      <w:r>
        <w:t>https://mcp.opencaselaw.ch/entscheid/sg_gerichte_FS.2016.13</w:t>
      </w:r>
    </w:p>
    <w:p>
      <w:r>
        <w:t>FR: SG_GERICHTE FS.2016.13 du 7 février 2018</w:t>
      </w:r>
    </w:p>
    <w:p>
      <w:r>
        <w:t>IT: SG_GERICHTE FS.2016.13 del 7 febbraio 2018</w:t>
      </w:r>
    </w:p>
    <w:p>
      <w:pPr>
        <w:pStyle w:val="Heading2"/>
      </w:pPr>
      <w:r>
        <w:t>Regeste</w:t>
      </w:r>
    </w:p>
    <w:p>
      <w:r>
        <w:t>Art. 279 ZPO: Vereinbarungen betreffend die Nebenfolgen der Ehetrennung oder Ehescheidung können der richterlichen Genehmigung nicht durch eine Integration in einen Ehevertrag entzogen werden (Kantonsgericht, Einzelrichter der II. Zivilkammer, 29. Mai 2017, FS.2016.13; bestätigt in BGer 5A_493/2017, Urteil vom 7. Februar 2018).</w:t>
      </w:r>
    </w:p>
    <w:p>
      <w:pPr>
        <w:pStyle w:val="Heading2"/>
      </w:pPr>
      <w:r>
        <w:t>Volltext</w:t>
      </w:r>
    </w:p>
    <w:p>
      <w:r>
        <w:t>St.Gallen Kantonsgericht Zivilkammern (inkl. Einzelrichter) 29.05.2017 FS.2016.13</w:t>
      </w:r>
    </w:p>
    <w:p>
      <w:r>
        <w:t>Art. 279 ZPO: Vereinbarungen betreffend die Nebenfolgen der Ehetrennung oder Ehescheidung können der richterlichen Genehmigung nicht durch eine Integration in einen Ehevertrag entzogen werden (Kantonsgericht, Einzelrichter der II. Zivilkammer, 29. Mai 2017, FS.2016.13; bestätigt in BGer 5A_493/2017, Urteil vom 7. Februar 2018).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