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FS.2014.32 vom 12. März 2015</w:t>
      </w:r>
    </w:p>
    <w:p>
      <w:r>
        <w:t>SG Gerichte, 2015-03-12, DE</w:t>
      </w:r>
    </w:p>
    <w:p>
      <w:r>
        <w:rPr>
          <w:b/>
        </w:rPr>
        <w:t xml:space="preserve">Quelle: </w:t>
      </w:r>
      <w:r>
        <w:t>https://mcp.opencaselaw.ch/entscheid/sg_gerichte_FS.2014.32</w:t>
      </w:r>
    </w:p>
    <w:p>
      <w:r>
        <w:t>FR: SG_GERICHTE FS.2014.32 du 12 mars 2015</w:t>
      </w:r>
    </w:p>
    <w:p>
      <w:r>
        <w:t>IT: SG_GERICHTE FS.2014.32 del 12 marzo 2015</w:t>
      </w:r>
    </w:p>
    <w:p>
      <w:pPr>
        <w:pStyle w:val="Heading2"/>
      </w:pPr>
      <w:r>
        <w:t>Regeste</w:t>
      </w:r>
    </w:p>
    <w:p>
      <w:r>
        <w:t>Art. 179 Abs. 1 ZGB: Abänderung einer eheschutzrechtlichen Kinderunterhaltsregelung mittels vorsorglicher Massnahme im Scheidungsverfahren; Frage der Anrechnung eines hypothetischen Einkommens und der Gewährung einer Übergangsfrist, insbesondere mit Blick auf die ungenügenden Arbeitsbemühungen des Pflichtigen (Kantonsgericht, Einzelrichter im Familienrecht, 12. März 2015, FS.2014.32).</w:t>
      </w:r>
    </w:p>
    <w:p>
      <w:pPr>
        <w:pStyle w:val="Heading2"/>
      </w:pPr>
      <w:r>
        <w:t>Volltext</w:t>
      </w:r>
    </w:p>
    <w:p>
      <w:r>
        <w:t>St.Gallen Kantonsgericht Zivilkammern (inkl. Einzelrichter) 12.03.2015 FS.2014.32</w:t>
      </w:r>
    </w:p>
    <w:p>
      <w:r>
        <w:t>Art. 179 Abs. 1 ZGB: Abänderung einer eheschutzrechtlichen Kinderunterhaltsregelung mittels vorsorglicher Massnahme im Scheidungsverfahren; Frage der Anrechnung eines hypothetischen Einkommens und der Gewährung einer Übergangsfrist, insbesondere mit Blick auf die ungenügenden Arbeitsbemühungen des Pflichtigen (Kantonsgericht, Einzelrichter im Familienrecht, 12. März 2015, FS.2014.32).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