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FO.2017.6/1 vom 19. März 2019</w:t>
      </w:r>
    </w:p>
    <w:p>
      <w:r>
        <w:t>SG Gerichte, 2019-03-19, DE</w:t>
      </w:r>
    </w:p>
    <w:p>
      <w:r>
        <w:rPr>
          <w:b/>
        </w:rPr>
        <w:t xml:space="preserve">Quelle: </w:t>
      </w:r>
      <w:r>
        <w:t>https://mcp.opencaselaw.ch/entscheid/sg_gerichte_FO.2017.6_1</w:t>
      </w:r>
    </w:p>
    <w:p>
      <w:r>
        <w:t>FR: SG_GERICHTE FO.2017.6/1 du 19 mars 2019</w:t>
      </w:r>
    </w:p>
    <w:p>
      <w:r>
        <w:t>IT: SG_GERICHTE FO.2017.6/1 del 19 marzo 2019</w:t>
      </w:r>
    </w:p>
    <w:p>
      <w:pPr>
        <w:pStyle w:val="Heading2"/>
      </w:pPr>
      <w:r>
        <w:t>Regeste</w:t>
      </w:r>
    </w:p>
    <w:p>
      <w:r>
        <w:t>Art. 298d Abs. 3 ZGB: Wird in einem Unterhaltsabänderungsverfahren im Verlauf des Berufungsverfahren auch die Betreuung strittig, so ist von der Zuständigkeit des Kantonsgerichts auch zur Regelung der Betreuung auszugehen. (Kantonsgericht, II. Zivilkammer, 19. März 2019, FO.2017.6/1).</w:t>
      </w:r>
    </w:p>
    <w:p>
      <w:pPr>
        <w:pStyle w:val="Heading2"/>
      </w:pPr>
      <w:r>
        <w:t>Volltext</w:t>
      </w:r>
    </w:p>
    <w:p>
      <w:r>
        <w:t>St.Gallen Kantonsgericht Zivilkammern (inkl. Einzelrichter) 19.03.2019 FO.2017.6/1</w:t>
      </w:r>
    </w:p>
    <w:p>
      <w:r>
        <w:t>Art. 298d Abs. 3 ZGB: Wird in einem Unterhaltsabänderungsverfahren im Verlauf des Berufungsverfahren auch die Betreuung strittig, so ist von der Zuständigkeit des Kantonsgerichts auch zur Regelung der Betreuung auszugehen. (Kantonsgericht, II. Zivilkammer, 19. März 2019, FO.2017.6/1).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