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FO.2017.3 vom 21. November 2019</w:t>
      </w:r>
    </w:p>
    <w:p>
      <w:r>
        <w:t>SG Gerichte, 2019-11-21, DE</w:t>
      </w:r>
    </w:p>
    <w:p>
      <w:r>
        <w:rPr>
          <w:b/>
        </w:rPr>
        <w:t xml:space="preserve">Quelle: </w:t>
      </w:r>
      <w:r>
        <w:t>https://mcp.opencaselaw.ch/entscheid/sg_gerichte_FO.2017.3</w:t>
      </w:r>
    </w:p>
    <w:p>
      <w:r>
        <w:t>FR: SG_GERICHTE FO.2017.3 du 21 novembre 2019</w:t>
      </w:r>
    </w:p>
    <w:p>
      <w:r>
        <w:t>IT: SG_GERICHTE FO.2017.3 del 21 novembre 2019</w:t>
      </w:r>
    </w:p>
    <w:p>
      <w:pPr>
        <w:pStyle w:val="Heading2"/>
      </w:pPr>
      <w:r>
        <w:t>Regeste</w:t>
      </w:r>
    </w:p>
    <w:p>
      <w:r>
        <w:t>Art. 261 ff. ZPO; Art. 276 ff. ZGB: Wurden die Unterhaltsbeiträge – auch Kinderunterhaltsbeiträge – im Rahmen vorsorglicher Massnahmen geregelt, gilt grundsätzlich, dass sie im Endurteil nicht rückwirkend abgeändert werden können (Kantonsgericht, II. Zivilkammer, 21. November 2019, FO.2017.3).</w:t>
      </w:r>
    </w:p>
    <w:p>
      <w:pPr>
        <w:pStyle w:val="Heading2"/>
      </w:pPr>
      <w:r>
        <w:t>Volltext</w:t>
      </w:r>
    </w:p>
    <w:p>
      <w:r>
        <w:t>St.Gallen Kantonsgericht Zivilkammern (inkl. Einzelrichter) 21.11.2019 FO.2017.3</w:t>
      </w:r>
    </w:p>
    <w:p>
      <w:r>
        <w:t>Art. 261 ff. ZPO; Art. 276 ff. ZGB: Wurden die Unterhaltsbeiträge – auch Kinderunterhaltsbeiträge – im Rahmen vorsorglicher Massnahmen geregelt, gilt grundsätzlich, dass sie im Endurteil nicht rückwirkend abgeändert werden können (Kantonsgericht, II. Zivilkammer, 21. November 2019, FO.2017.3).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