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FO.2015.24 vom 20. Dezember 2016</w:t>
      </w:r>
    </w:p>
    <w:p>
      <w:r>
        <w:t>SG Gerichte, 2016-12-20, DE</w:t>
      </w:r>
    </w:p>
    <w:p>
      <w:r>
        <w:rPr>
          <w:b/>
        </w:rPr>
        <w:t xml:space="preserve">Quelle: </w:t>
      </w:r>
      <w:r>
        <w:t>https://mcp.opencaselaw.ch/entscheid/sg_gerichte_FO.2015.24</w:t>
      </w:r>
    </w:p>
    <w:p>
      <w:r>
        <w:t>FR: SG_GERICHTE FO.2015.24 du 20 décembre 2016</w:t>
      </w:r>
    </w:p>
    <w:p>
      <w:r>
        <w:t>IT: SG_GERICHTE FO.2015.24 del 20 dicembre 2016</w:t>
      </w:r>
    </w:p>
    <w:p>
      <w:pPr>
        <w:pStyle w:val="Heading2"/>
      </w:pPr>
      <w:r>
        <w:t>Regeste</w:t>
      </w:r>
    </w:p>
    <w:p>
      <w:r>
        <w:t>Ein Verzicht auf den Vorsorgeausgleich ist nur zulässig, wenn der Verzichtende über ein entsprechendes Surrogat verfügt (Art. 123 Abs. 1 ZGB). Das Gericht kann die Teilung verweigern, wenn diese aufgrund der güterrechtlichen Auseinandersetzung oder der wirtschaftlichen Verhältnisse nach der Scheidung offensichtlich unbillig ist (Art. 123 Abs. 2 ZGB). Überdies kann die Teilung vom Gericht verweigert werden, wenn diese im Sinne der bundesgerichtlichen Rechtsprechung gegen das Rechtsmissbrauchsverbot von Art. 2 Abs. 2 ZGB verstösst (Kantonsgericht, II. Zivilkammer, 20. Dezember 2016, FO.2015.24). [Anmerkung: Der Entscheid stammt aus dem Jahr 2016 und erging damit noch unter der Geltung des damaligen Rechts zum Vorsorgeausgleich. Die genannten Grundsätze bestehen unter der Geltung des revidierten Rechts weiterhin.]</w:t>
      </w:r>
    </w:p>
    <w:p>
      <w:pPr>
        <w:pStyle w:val="Heading2"/>
      </w:pPr>
      <w:r>
        <w:t>Volltext</w:t>
      </w:r>
    </w:p>
    <w:p>
      <w:r>
        <w:t>St.Gallen Kantonsgericht Zivilkammern (inkl. Einzelrichter) 20.12.2016 FO.2015.24</w:t>
      </w:r>
    </w:p>
    <w:p>
      <w:r>
        <w:t>Ein Verzicht auf den Vorsorgeausgleich ist nur zulässig, wenn der Verzichtende über ein entsprechendes Surrogat verfügt (Art. 123 Abs. 1 ZGB). Das Gericht kann die Teilung verweigern, wenn diese aufgrund der güterrechtlichen Auseinandersetzung oder der wirtschaftlichen Verhältnisse nach der Scheidung offensichtlich unbillig ist (Art. 123 Abs. 2 ZGB). Überdies kann die Teilung vom Gericht verweigert werden, wenn diese im Sinne der bundesgerichtlichen Rechtsprechung gegen das Rechtsmissbrauchsverbot von Art. 2 Abs. 2 ZGB verstösst (Kantonsgericht, II. Zivilkammer, 20. Dezember 2016, FO.2015.24). [Anmerkung: Der Entscheid stammt aus dem Jahr 2016 und erging damit noch unter der Geltung des damaligen Rechts zum Vorsorgeausgleich. Die genannten Grundsätze bestehen unter der Geltung des revidierten Rechts weiterhin.]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