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2017/16 vom 17. Mai 2018</w:t>
      </w:r>
    </w:p>
    <w:p>
      <w:r>
        <w:t>SG Gerichte, 2018-05-17, DE</w:t>
      </w:r>
    </w:p>
    <w:p>
      <w:r>
        <w:rPr>
          <w:b/>
        </w:rPr>
        <w:t xml:space="preserve">Quelle: </w:t>
      </w:r>
      <w:r>
        <w:t>https://mcp.opencaselaw.ch/entscheid/sg_gerichte_EL_2017_16</w:t>
      </w:r>
    </w:p>
    <w:p>
      <w:r>
        <w:t>FR: SG_GERICHTE EL 2017/16 du 17 mai 2018</w:t>
      </w:r>
    </w:p>
    <w:p>
      <w:r>
        <w:t>IT: SG_GERICHTE EL 2017/16 del 17 maggio 2018</w:t>
      </w:r>
    </w:p>
    <w:p>
      <w:pPr>
        <w:pStyle w:val="Heading2"/>
      </w:pPr>
      <w:r>
        <w:t>Regeste</w:t>
      </w:r>
    </w:p>
    <w:p>
      <w:r>
        <w:t>Art. 58 Abs. 1 ATSG. Örtliche Zuständigkeit im Ergänzungsleistungsrecht. Unechte Gesetzeslücke für den Fall eines Wohnsitzwechsels unmittelbar vor der Beschwerdeerhebung (Entscheid des Versicherungsgerichts des Kantons St. Gallen vom 15. Mai und 17. Mai 2018, EL 2017/16). Aufgehoben durch Urteil des Bundesgerichts 9C_441/2018.</w:t>
      </w:r>
    </w:p>
    <w:p>
      <w:pPr>
        <w:pStyle w:val="Heading2"/>
      </w:pPr>
      <w:r>
        <w:t>Volltext</w:t>
      </w:r>
    </w:p>
    <w:p>
      <w:r>
        <w:t>St.Gallen Versicherungsgericht 15.05.2018 EL 2017/16 Saint-Gall Versicherungsgericht 15.05.2018 EL 2017/16 San Gallo Versicherungsgericht 15.05.2018 EL 2017/16</w:t>
      </w:r>
    </w:p>
    <w:p>
      <w:r>
        <w:t>Art. 58 Abs. 1 ATSG. Örtliche Zuständigkeit im Ergänzungsleistungsrecht. Unechte Gesetzeslücke für den Fall eines Wohnsitzwechsels unmittelbar vor der Beschwerdeerhebung (Entscheid des Versicherungsgerichts des Kantons St. Gallen vom 15. Mai und 17. Mai 2018, EL 2017/16). Aufgehoben durch Urteil des Bundesgerichts 9C_441/2018.</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