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2015/44 vom 3. Februar 2016</w:t>
      </w:r>
    </w:p>
    <w:p>
      <w:r>
        <w:t>SG Gerichte, 2016-02-03, DE</w:t>
      </w:r>
    </w:p>
    <w:p>
      <w:r>
        <w:rPr>
          <w:b/>
        </w:rPr>
        <w:t xml:space="preserve">Quelle: </w:t>
      </w:r>
      <w:r>
        <w:t>https://mcp.opencaselaw.ch/entscheid/sg_gerichte_EL_2015_44</w:t>
      </w:r>
    </w:p>
    <w:p>
      <w:r>
        <w:t>FR: SG_GERICHTE EL 2015/44 du 3 février 2016</w:t>
      </w:r>
    </w:p>
    <w:p>
      <w:r>
        <w:t>IT: SG_GERICHTE EL 2015/44 del 3 febbraio 2016</w:t>
      </w:r>
    </w:p>
    <w:p>
      <w:pPr>
        <w:pStyle w:val="Heading2"/>
      </w:pPr>
      <w:r>
        <w:t>Regeste</w:t>
      </w:r>
    </w:p>
    <w:p>
      <w:r>
        <w:t>Art. 41 ATSG. Art. 10 ELG.Fristwiederherstellung. Anforderungen an eine Beschwerdeschrift. Berücksichtigung einer Erbschaft in einer Fremdwährung (Euro). (Entscheid des Versicherungsgerichts des Kantons St. Gallen vom 3. Februar 2016, EL 2015/44).Entscheid vom 3. Februar 2016</w:t>
      </w:r>
    </w:p>
    <w:p>
      <w:pPr>
        <w:pStyle w:val="Heading2"/>
      </w:pPr>
      <w:r>
        <w:t>Volltext</w:t>
      </w:r>
    </w:p>
    <w:p>
      <w:r>
        <w:t>St.Gallen Versicherungsgericht 03.02.2016 EL 2015/44 Saint-Gall Versicherungsgericht 03.02.2016 EL 2015/44 San Gallo Versicherungsgericht 03.02.2016 EL 2015/44</w:t>
      </w:r>
    </w:p>
    <w:p>
      <w:r>
        <w:t>Art. 41 ATSG. Art. 10 ELG.Fristwiederherstellung. Anforderungen an eine Beschwerdeschrift. Berücksichtigung einer Erbschaft in einer Fremdwährung (Euro). (Entscheid des Versicherungsgerichts des Kantons St. Gallen vom 3. Februar 2016, EL 2015/44).Entscheid vom 3. Februar 2016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