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2009/4 vom 20. März 2009</w:t>
      </w:r>
    </w:p>
    <w:p>
      <w:r>
        <w:t>SG Gerichte, 2009-03-20, DE</w:t>
      </w:r>
    </w:p>
    <w:p>
      <w:r>
        <w:rPr>
          <w:b/>
        </w:rPr>
        <w:t xml:space="preserve">Quelle: </w:t>
      </w:r>
      <w:r>
        <w:t>https://mcp.opencaselaw.ch/entscheid/sg_gerichte_EL_2009_4</w:t>
      </w:r>
    </w:p>
    <w:p>
      <w:r>
        <w:t>FR: SG_GERICHTE EL 2009/4 du 20 mars 2009</w:t>
      </w:r>
    </w:p>
    <w:p>
      <w:r>
        <w:t>IT: SG_GERICHTE EL 2009/4 del 20 marzo 2009</w:t>
      </w:r>
    </w:p>
    <w:p>
      <w:pPr>
        <w:pStyle w:val="Heading2"/>
      </w:pPr>
      <w:r>
        <w:t>Regeste</w:t>
      </w:r>
    </w:p>
    <w:p>
      <w:r>
        <w:t>Art. 2, 3, 4, 14 ELG. Im Verfahren über den Anspruch auf Krankheits- und Behinderungskosten ist die Höhe der verfügbaren Quote zwar ein bedeutsames Begründungselement. Trotzdem ist nach rechtskräftiger Einstellung der EL im späteren Begehren um Krankheitskostenvergütung die Quote neu zu überprüfen (Entscheid des Versicherungsgerichts des Kantons St. Gallen vom 20. März 2009, EL 2009/4).</w:t>
      </w:r>
    </w:p>
    <w:p>
      <w:pPr>
        <w:pStyle w:val="Heading2"/>
      </w:pPr>
      <w:r>
        <w:t>Volltext</w:t>
      </w:r>
    </w:p>
    <w:p>
      <w:r>
        <w:t>St.Gallen Versicherungsgericht 20.03.2009 EL 2009/4 Saint-Gall Versicherungsgericht 20.03.2009 EL 2009/4 San Gallo Versicherungsgericht 20.03.2009 EL 2009/4</w:t>
      </w:r>
    </w:p>
    <w:p>
      <w:r>
        <w:t>Art. 2, 3, 4, 14 ELG.</w:t>
      </w:r>
    </w:p>
    <w:p>
      <w:r>
        <w:t>Im Verfahren über den Anspruch auf Krankheits- und Behinderungskosten ist die Höhe der verfügbaren Quote zwar ein bedeutsames Begründungselement. Trotzdem ist nach rechtskräftiger Einstellung der EL im späteren Begehren um Krankheitskostenvergütung die Quote neu zu überprüfen (Entscheid des Versicherungsgerichts des Kantons St. Gallen vom 20. März 2009, EL 2009/4).</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