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2004/23 vom 14. Februar 2006</w:t>
      </w:r>
    </w:p>
    <w:p>
      <w:r>
        <w:t>SG Gerichte, 2006-02-14, DE</w:t>
      </w:r>
    </w:p>
    <w:p>
      <w:r>
        <w:rPr>
          <w:b/>
        </w:rPr>
        <w:t xml:space="preserve">Quelle: </w:t>
      </w:r>
      <w:r>
        <w:t>https://mcp.opencaselaw.ch/entscheid/sg_gerichte_EL_2004_23</w:t>
      </w:r>
    </w:p>
    <w:p>
      <w:r>
        <w:t>FR: SG_GERICHTE EL 2004/23 du 14 février 2006</w:t>
      </w:r>
    </w:p>
    <w:p>
      <w:r>
        <w:t>IT: SG_GERICHTE EL 2004/23 del 14 febbraio 2006</w:t>
      </w:r>
    </w:p>
    <w:p>
      <w:pPr>
        <w:pStyle w:val="Heading2"/>
      </w:pPr>
      <w:r>
        <w:t>Regeste</w:t>
      </w:r>
    </w:p>
    <w:p>
      <w:r>
        <w:t>Die Koordination der jährlichen periodischen Ergänzungsleistung mit anderen Leistungssystemen erfolgt über die Bestimmung der anrechenbaren Einnahmen (und anerkannten Ausgaben). Die VVG-Leistungen sind von einer Anrechnung nicht ausgenommen. Auch bei den Krankheits- und Behinderungskosten sind sie vorweg anrechenbar.Frage offen gelassen, ob Privatversicherungsprämien als Gewinnungskosten von dadurch bewirkten EL-rechtlich anrechenbaren Einnahmen aus Privatversicherungsleistungen in Abzug gebracht werden können. Der früher ausdrücklich vorgesehene Abzug von Prämien für Lebens-, Unfall- und Invalidenversicherungen bis zu einem jährlichen Höchstbetrag ist mit der 3. EL-Revision zwar weggefallen. Die Anerkennung als Gewinnungskosten wäre trotzdem eigentlich nur folgerichtig (Entscheid des Versicherungsgerichts des Kantons St. Gallen vom 10. Januar 2005, EL 2004/23). (Der Entscheid ist vom Eidgenössischen Versicherungsgericht mit Urteil vom 14. Februar 2006 aufgehoben worden; P 8/05.)</w:t>
      </w:r>
    </w:p>
    <w:p>
      <w:pPr>
        <w:pStyle w:val="Heading2"/>
      </w:pPr>
      <w:r>
        <w:t>Volltext</w:t>
      </w:r>
    </w:p>
    <w:p>
      <w:r>
        <w:t>St.Gallen Versicherungsgericht 10.01.2005 EL 2004/23 Saint-Gall Versicherungsgericht 10.01.2005 EL 2004/23 San Gallo Versicherungsgericht 10.01.2005 EL 2004/23</w:t>
      </w:r>
    </w:p>
    <w:p>
      <w:r>
        <w:t>Die Koordination der jährlichen periodischen Ergänzungsleistung mit anderen Leistungssystemen erfolgt über die Bestimmung der anrechenbaren Einnahmen (und anerkannten Ausgaben). Die VVG-Leistungen sind von einer Anrechnung nicht ausgenommen. Auch bei den Krankheits- und Behinderungskosten sind sie vorweg anrechenbar.Frage offen gelassen, ob Privatversicherungsprämien als Gewinnungskosten von dadurch bewirkten EL-rechtlich anrechenbaren Einnahmen aus Privatversicherungsleistungen in Abzug gebracht werden können. Der früher ausdrücklich vorgesehene Abzug von Prämien für Lebens-, Unfall- und Invalidenversicherungen bis zu einem jährlichen Höchstbetrag ist mit der 3. EL-Revision zwar weggefallen. Die Anerkennung als Gewinnungskosten wäre trotzdem eigentlich nur folgerichtig (Entscheid des Versicherungsgerichts des Kantons St. Gallen vom 10. Januar 2005, EL 2004/23). (Der Entscheid ist vom Eidgenössischen Versicherungsgericht mit Urteil vom 14. Februar 2006 aufgehoben worden; P 8/05.)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