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2024/185, B 2024/186 vom 25. April 2025</w:t>
      </w:r>
    </w:p>
    <w:p>
      <w:r>
        <w:t>SG Gerichte, 2025-04-25, DE</w:t>
      </w:r>
    </w:p>
    <w:p>
      <w:r>
        <w:rPr>
          <w:b/>
        </w:rPr>
        <w:t xml:space="preserve">Quelle: </w:t>
      </w:r>
      <w:r>
        <w:t>https://mcp.opencaselaw.ch/entscheid/sg_gerichte_B_2024_185__B_2024_186</w:t>
      </w:r>
    </w:p>
    <w:p>
      <w:r>
        <w:t>FR: SG_GERICHTE B 2024/185, B 2024/186 du 25 avril 2025</w:t>
      </w:r>
    </w:p>
    <w:p>
      <w:r>
        <w:t>IT: SG_GERICHTE B 2024/185, B 2024/186 del 25 aprile 2025</w:t>
      </w:r>
    </w:p>
    <w:p>
      <w:pPr>
        <w:pStyle w:val="Heading2"/>
      </w:pPr>
      <w:r>
        <w:t>Regeste</w:t>
      </w:r>
    </w:p>
    <w:p>
      <w:r>
        <w:t>Erlass der Kantons- und Gemeindesteuern und der direkten Bundessteuer. Art. 224 Abs. 1 StG (sGS 811.1). Art. 167 DBG (SR 642.11). Steuererlassverordnung; SR 642.121. Ein Steuererlass fiel konkret zufolge fehlenden Nachweises einer grossen Härte/Notlage (Art. 224 Abs. 1 StG) sowie fehlender Rücklagenbildung (Art. 167a lit. b DBG) ausser Betracht, weshalb die Frage der Gläubigerbevorzugung offenbleiben konnte. Abweisung der Beschwerde und Bestätigung des angefochtenen Entscheids. (Verwaltungsgericht, B 2024/185, B 2024/186) Auf eine gegen dieses Urteil erhobene Beschwerde trat das Bundesgericht mit Urteil vom 25. April 2025 nicht ein (Verfahren 9D_6/2025).</w:t>
      </w:r>
    </w:p>
    <w:p>
      <w:pPr>
        <w:pStyle w:val="Heading2"/>
      </w:pPr>
      <w:r>
        <w:t>Volltext</w:t>
      </w:r>
    </w:p>
    <w:p>
      <w:r>
        <w:t>St.Gallen Verwaltungsgericht 12.03.2025 B 2024/185, B 2024/186 Saint-Gall Verwaltungsgericht 12.03.2025 B 2024/185, B 2024/186 San Gallo Verwaltungsgericht 12.03.2025 B 2024/185, B 2024/186</w:t>
      </w:r>
    </w:p>
    <w:p>
      <w:r>
        <w:t>Erlass der Kantons- und Gemeindesteuern und der direkten Bundessteuer. Art. 224 Abs. 1 StG (sGS 811.1). Art. 167 DBG (SR 642.11). Steuererlassverordnung; SR 642.121. Ein Steuererlass fiel konkret zufolge fehlenden Nachweises einer grossen Härte/Notlage (Art. 224 Abs. 1 StG) sowie fehlender Rücklagenbildung (Art. 167a lit. b DBG) ausser Betracht, weshalb die Frage der Gläubigerbevorzugung offenbleiben konnte. Abweisung der Beschwerde und Bestätigung des angefochtenen Entscheids. (Verwaltungsgericht, B 2024/185, B 2024/186) Auf eine gegen dieses Urteil erhobene Beschwerde trat das Bundesgericht mit Urteil vom 25. April 2025 nicht ein (Verfahren 9D_6/2025).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