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2023/245 vom 6. August 2024</w:t>
      </w:r>
    </w:p>
    <w:p>
      <w:r>
        <w:t>SG Gerichte, 2024-08-06, DE</w:t>
      </w:r>
    </w:p>
    <w:p>
      <w:r>
        <w:rPr>
          <w:b/>
        </w:rPr>
        <w:t xml:space="preserve">Quelle: </w:t>
      </w:r>
      <w:r>
        <w:t>https://mcp.opencaselaw.ch/entscheid/sg_gerichte_B_2023_245</w:t>
      </w:r>
    </w:p>
    <w:p>
      <w:r>
        <w:t>FR: SG_GERICHTE B 2023/245 du 6 août 2024</w:t>
      </w:r>
    </w:p>
    <w:p>
      <w:r>
        <w:t>IT: SG_GERICHTE B 2023/245 del 6 agosto 2024</w:t>
      </w:r>
    </w:p>
    <w:p>
      <w:pPr>
        <w:pStyle w:val="Heading2"/>
      </w:pPr>
      <w:r>
        <w:t>Regeste</w:t>
      </w:r>
    </w:p>
    <w:p>
      <w:r>
        <w:t>Grundstückgewinnsteuer. Art. 132 Abs. 1 lit. a, 134 Abs. 1, 136 Abs. 1 und 137 StG (sGS 811.1), Art. 12 Abs. 3 lit. a StHG (SR 642.12). Streitig war, ob die Vorinstanz (VRK) im angefochtenen Entscheid zu Recht den Einspracheentscheid des Beschwerdegegners (kantonales Steueramt) vom 30. August 2022 bestätigte, mit welchem für die Bemessung der Grundstückgewinnsteuer der Erwerbspreis auf CHF 235'000, die anrechenbaren Nebenkosten auf CHF 22'243, die wertvermehrenden Aufwendungen auf CHF 149'921 und der steuerbare Grundstückgewinn mit CHF 392'836 festgesetzt worden waren. Bestätigung des angefochtenen Entscheids durch das Verwaltungsgericht. (Verwaltungsgericht B 2023/245) Auf eine gegen dieses Urteil erhobene Beschwerde trat das Bundesgericht mit Urteil vom 6. August 2024 nicht ein (Verfahren 9C_359/2024).</w:t>
      </w:r>
    </w:p>
    <w:p>
      <w:pPr>
        <w:pStyle w:val="Heading2"/>
      </w:pPr>
      <w:r>
        <w:t>Volltext</w:t>
      </w:r>
    </w:p>
    <w:p>
      <w:r>
        <w:t>St.Gallen Verwaltungsgericht 22.05.2024 B 2023/245 Saint-Gall Verwaltungsgericht 22.05.2024 B 2023/245 San Gallo Verwaltungsgericht 22.05.2024 B 2023/245</w:t>
      </w:r>
    </w:p>
    <w:p>
      <w:r>
        <w:t>Grundstückgewinnsteuer. Art. 132 Abs. 1 lit. a, 134 Abs. 1, 136 Abs. 1 und 137 StG (sGS 811.1), Art. 12 Abs. 3 lit. a StHG (SR 642.12). Streitig war, ob die Vorinstanz (VRK) im angefochtenen Entscheid zu Recht den Einspracheentscheid des Beschwerdegegners (kantonales Steueramt) vom 30. August 2022 bestätigte, mit welchem für die Bemessung der Grundstückgewinnsteuer der Erwerbspreis auf CHF 235'000, die anrechenbaren Nebenkosten auf CHF 22'243, die wertvermehrenden Aufwendungen auf CHF 149'921 und der steuerbare Grundstückgewinn mit CHF 392'836 festgesetzt worden waren. Bestätigung des angefochtenen Entscheids durch das Verwaltungsgericht. (Verwaltungsgericht B 2023/245) Auf eine gegen dieses Urteil erhobene Beschwerde trat das Bundesgericht mit Urteil vom 6. August 2024 nicht ein (Verfahren 9C_359/2024).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