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2023/130 vom 2. Mai 2024</w:t>
      </w:r>
    </w:p>
    <w:p>
      <w:r>
        <w:t>SG Gerichte, 2024-05-02, DE</w:t>
      </w:r>
    </w:p>
    <w:p>
      <w:r>
        <w:rPr>
          <w:b/>
        </w:rPr>
        <w:t xml:space="preserve">Quelle: </w:t>
      </w:r>
      <w:r>
        <w:t>https://mcp.opencaselaw.ch/entscheid/sg_gerichte_B_2023_130</w:t>
      </w:r>
    </w:p>
    <w:p>
      <w:r>
        <w:t>FR: SG_GERICHTE B 2023/130 du 2 mai 2024</w:t>
      </w:r>
    </w:p>
    <w:p>
      <w:r>
        <w:t>IT: SG_GERICHTE B 2023/130 del 2 maggio 2024</w:t>
      </w:r>
    </w:p>
    <w:p>
      <w:pPr>
        <w:pStyle w:val="Heading2"/>
      </w:pPr>
      <w:r>
        <w:t>Regeste</w:t>
      </w:r>
    </w:p>
    <w:p>
      <w:r>
        <w:t>Steuerrecht, Schätzung der Grundstückwerte, Verkehrswert eines Einfamilienhauses nach Abparzellierung einer Baulandreserve, Art. 57 StG (sGS 811.1), Art. 6 Abs. 1 lit. c GGS (sGS 814.1). Das Verwaltungsgericht übt gegenüber Schätzungen dieselbe Zurückhaltung wie gegenüber verwaltungsbehördlichen Ermessensentscheiden. Es schreitet nur ein, wenn eine Schätzung im Ergebnis offensichtlich unrichtig erscheint bzw. wenn der Rekursinstanz offenkundige Fehler oder Irrtümer unterlaufen sind oder sie bei der Schätzung wesentliche Gesichtspunkte übergangen oder falsch gewürdigt hat. Die Verwaltungsrekurskommission hat als Fachgericht – bei den nebenamtlichen Mitgliedern handelt es sich um Personen mit besonderen Fachkenntnissen (vgl. Art. 16 Abs. 1 Satz 2 GerG, sGS 941.1; Art. 18 lit. b der Verordnung über die Organisation der Verwaltungsrekurskommission, sGS 941.113) – mit entsprechend weitem technischen Ermessen geurteilt. Das Verwaltungsgericht beschränkt sich deshalb auf die Prüfung, ob die Fachinstanz die für den Entscheid wesentlichen Gesichtspunkte geprüft und die erforderlichen Abklärungen sorgfältig und umfassend durchgeführt hat, was vorliegend der Fall ist. Abweisung der Beschwerde (Verwaltungsgericht B 2023/130). Die gegen dieses Urteil erhobene Beschwerde ans Bundesgericht wurde mit Urteil vom 2. Mai 2024 abgewiesen (Verfahren 9C_86/2024).</w:t>
      </w:r>
    </w:p>
    <w:p>
      <w:pPr>
        <w:pStyle w:val="Heading2"/>
      </w:pPr>
      <w:r>
        <w:t>Volltext</w:t>
      </w:r>
    </w:p>
    <w:p>
      <w:r>
        <w:t>St.Gallen Verwaltungsgericht 18.12.2023 B 2023/130 Saint-Gall Verwaltungsgericht 18.12.2023 B 2023/130 San Gallo Verwaltungsgericht 18.12.2023 B 2023/130</w:t>
      </w:r>
    </w:p>
    <w:p>
      <w:r>
        <w:t>Steuerrecht, Schätzung der Grundstückwerte, Verkehrswert eines Einfamilienhauses nach Abparzellierung einer Baulandreserve, Art. 57 StG (sGS 811.1), Art. 6 Abs. 1 lit. c GGS (sGS 814.1). Das Verwaltungsgericht übt gegenüber Schätzungen dieselbe Zurückhaltung wie gegenüber verwaltungsbehördlichen Ermessensentscheiden. Es schreitet nur ein, wenn eine Schätzung im Ergebnis offensichtlich unrichtig erscheint bzw. wenn der Rekursinstanz offenkundige Fehler oder Irrtümer unterlaufen sind oder sie bei der Schätzung wesentliche Gesichtspunkte übergangen oder falsch gewürdigt hat. Die Verwaltungsrekurskommission hat als Fachgericht – bei den nebenamtlichen Mitgliedern handelt es sich um Personen mit besonderen Fachkenntnissen (vgl. Art. 16 Abs. 1 Satz 2 GerG, sGS 941.1; Art. 18 lit. b der Verordnung über die Organisation der Verwaltungsrekurskommission, sGS 941.113) – mit entsprechend weitem technischen Ermessen geurteilt. Das Verwaltungsgericht beschränkt sich deshalb auf die Prüfung, ob die Fachinstanz die für den Entscheid wesentlichen Gesichtspunkte geprüft und die erforderlichen Abklärungen sorgfältig und umfassend durchgeführt hat, was vorliegend der Fall ist. Abweisung der Beschwerde (Verwaltungsgericht B 2023/130).</w:t>
      </w:r>
    </w:p>
    <w:p>
      <w:r>
        <w:t>Die gegen dieses Urteil erhobene Beschwerde ans Bundesgericht wurde mit Urteil vom 2. Mai 2024 abgewiesen (Verfahren 9C_86/2024).</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