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2023/11 vom 23. April 2024</w:t>
      </w:r>
    </w:p>
    <w:p>
      <w:r>
        <w:t>SG Gerichte, 2024-04-23, DE</w:t>
      </w:r>
    </w:p>
    <w:p>
      <w:r>
        <w:rPr>
          <w:b/>
        </w:rPr>
        <w:t xml:space="preserve">Quelle: </w:t>
      </w:r>
      <w:r>
        <w:t>https://mcp.opencaselaw.ch/entscheid/sg_gerichte_B_2023_11</w:t>
      </w:r>
    </w:p>
    <w:p>
      <w:r>
        <w:t>FR: SG_GERICHTE B 2023/11 du 23 avril 2024</w:t>
      </w:r>
    </w:p>
    <w:p>
      <w:r>
        <w:t>IT: SG_GERICHTE B 2023/11 del 23 aprile 2024</w:t>
      </w:r>
    </w:p>
    <w:p>
      <w:pPr>
        <w:pStyle w:val="Heading2"/>
      </w:pPr>
      <w:r>
        <w:t>Regeste</w:t>
      </w:r>
    </w:p>
    <w:p>
      <w:r>
        <w:t>Bau- und Umweltrecht. Art. 22 Abs. 1 RPG, Anhang 1 Ziff. 62 Abs. 5bis NISV, Art. 29 Abs. 2 BV, Art. 6 Ziff. 1 EMRK und Art. 136 ff. PBG. Die Nutzungsänderung in Form der Einführung eines keulenstatischen Korrekturfaktors bei adaptiven Mobilfunkantennen ist faktisch regelmässig mit der Möglichkeit einer nicht mehr bloss als ausgesprochen geringfügig zu bezeichnenden Zunahme der Immissionen in den von den Leistungsspitzen betroffenen Flächen verbunden. Damit besteht sowohl ein öffentliches Interesse als auch ein Interesse von Nachbarn an einer vorgängigen Beurteilung im Rahmen eines den grundrechtlichen Anforderungen genügenden ordentlichen Baubewilligungsverfahrens (Verwaltungsgericht, B 2023/11). Die gegen dieses Urteil erhobene Beschwerde ans Bundesgericht wurde mit Urteil vom 23. April 2024 abgewiesen (Verfahren 1C_506/2023)</w:t>
      </w:r>
    </w:p>
    <w:p>
      <w:pPr>
        <w:pStyle w:val="Heading2"/>
      </w:pPr>
      <w:r>
        <w:t>Volltext</w:t>
      </w:r>
    </w:p>
    <w:p>
      <w:r>
        <w:t>St.Gallen Verwaltungsgericht 17.08.2023 B 2023/11 Saint-Gall Verwaltungsgericht 17.08.2023 B 2023/11 San Gallo Verwaltungsgericht 17.08.2023 B 2023/11</w:t>
      </w:r>
    </w:p>
    <w:p>
      <w:r>
        <w:t>Bau- und Umweltrecht. Art. 22 Abs. 1 RPG, Anhang 1 Ziff. 62 Abs. 5bis NISV, Art. 29 Abs. 2 BV, Art. 6 Ziff. 1 EMRK und Art. 136 ff. PBG. Die Nutzungsänderung in Form der Einführung eines keulenstatischen Korrekturfaktors bei adaptiven Mobilfunkantennen ist faktisch regelmässig mit der Möglichkeit einer nicht mehr bloss als ausgesprochen geringfügig zu bezeichnenden Zunahme der Immissionen in den von den Leistungsspitzen betroffenen Flächen verbunden. Damit besteht sowohl ein öffentliches Interesse als auch ein Interesse von Nachbarn an einer vorgängigen Beurteilung im Rahmen eines den grundrechtlichen Anforderungen genügenden ordentlichen Baubewilligungsverfahrens (Verwaltungsgericht, B 2023/11). Die gegen dieses Urteil erhobene Beschwerde ans Bundesgericht wurde mit Urteil vom 23. April 2024 abgewiesen (Verfahren 1C_506/2023)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