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2022/195 vom 29. September 2023</w:t>
      </w:r>
    </w:p>
    <w:p>
      <w:r>
        <w:t>SG Gerichte, 2023-09-29, DE</w:t>
      </w:r>
    </w:p>
    <w:p>
      <w:r>
        <w:rPr>
          <w:b/>
        </w:rPr>
        <w:t xml:space="preserve">Quelle: </w:t>
      </w:r>
      <w:r>
        <w:t>https://mcp.opencaselaw.ch/entscheid/sg_gerichte_B_2022_195</w:t>
      </w:r>
    </w:p>
    <w:p>
      <w:r>
        <w:t>FR: SG_GERICHTE B 2022/195 du 29 septembre 2023</w:t>
      </w:r>
    </w:p>
    <w:p>
      <w:r>
        <w:t>IT: SG_GERICHTE B 2022/195 del 29 settembre 2023</w:t>
      </w:r>
    </w:p>
    <w:p>
      <w:pPr>
        <w:pStyle w:val="Heading2"/>
      </w:pPr>
      <w:r>
        <w:t>Regeste</w:t>
      </w:r>
    </w:p>
    <w:p>
      <w:r>
        <w:t>Anordnung separativer Sonderbeschulung bei Kind mit Trisomie 21. Art. 62 Abs. 2 und Abs. 3 BV, Art. 20 BehiG und Art. 34 ff. VSG. Die separative Sonderbeschulung hat für Kinder mit einer Behinderung keineswegs nur negative Aspekte. Vielmehr ermöglicht sie, auf die (behinderungsbedingten) Lern- und Förderbedürfnisse individuell angepasster einzugehen. Das Diskriminierungsverbot und das BehiG sollen nicht dazu führen, dass Kinder entgegen ihren Interessen und ihrem Wohl in eine Regelklasse eingeschult werden (Verwaltungsgericht, B 2022/195). Die gegen dieses Urteil erhobene Beschwerde ans Bundesgericht wurde mit Urteil vom 29. September 2023 abgewiesen (Verfahren 2C_227/2023).</w:t>
      </w:r>
    </w:p>
    <w:p>
      <w:pPr>
        <w:pStyle w:val="Heading2"/>
      </w:pPr>
      <w:r>
        <w:t>Volltext</w:t>
      </w:r>
    </w:p>
    <w:p>
      <w:r>
        <w:t>St.Gallen Verwaltungsgericht 02.03.2023 B 2022/195 Saint-Gall Verwaltungsgericht 02.03.2023 B 2022/195 San Gallo Verwaltungsgericht 02.03.2023 B 2022/195</w:t>
      </w:r>
    </w:p>
    <w:p>
      <w:r>
        <w:t>Anordnung separativer Sonderbeschulung bei Kind mit Trisomie 21. Art. 62 Abs. 2 und Abs. 3 BV, Art. 20 BehiG und Art. 34 ff. VSG. Die separative Sonderbeschulung hat für Kinder mit einer Behinderung keineswegs nur negative Aspekte. Vielmehr ermöglicht sie, auf die (behinderungsbedingten) Lern- und Förderbedürfnisse individuell angepasster einzugehen. Das Diskriminierungsverbot und das BehiG sollen nicht dazu führen, dass Kinder entgegen ihren Interessen und ihrem Wohl in eine Regelklasse eingeschult werden (Verwaltungsgericht, B 2022/195).</w:t>
      </w:r>
    </w:p>
    <w:p>
      <w:r>
        <w:t>Die gegen dieses Urteil erhobene Beschwerde ans Bundesgericht wurde mit Urteil vom 29. September 2023 abgewiesen (Verfahren 2C_227/2023).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