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2021/45 vom 16. Mai 2023</w:t>
      </w:r>
    </w:p>
    <w:p>
      <w:r>
        <w:t>SG Gerichte, 2023-05-16, DE</w:t>
      </w:r>
    </w:p>
    <w:p>
      <w:r>
        <w:rPr>
          <w:b/>
        </w:rPr>
        <w:t xml:space="preserve">Quelle: </w:t>
      </w:r>
      <w:r>
        <w:t>https://mcp.opencaselaw.ch/entscheid/sg_gerichte_B_2021_45</w:t>
      </w:r>
    </w:p>
    <w:p>
      <w:r>
        <w:t>FR: SG_GERICHTE B 2021/45 du 16 mai 2023</w:t>
      </w:r>
    </w:p>
    <w:p>
      <w:r>
        <w:t>IT: SG_GERICHTE B 2021/45 del 16 maggio 2023</w:t>
      </w:r>
    </w:p>
    <w:p>
      <w:pPr>
        <w:pStyle w:val="Heading2"/>
      </w:pPr>
      <w:r>
        <w:t>Regeste</w:t>
      </w:r>
    </w:p>
    <w:p>
      <w:r>
        <w:t>Teilstrassenplan. Erschliessung potentieller Auszonungsgebiete. Art. 7 ff. und 12-14 StrG (sG  732.1). Art. 19 Abs. 1 RPG (SR 700). Streitig war die Rechtmässigkeit der Aufhebung eines Teilstrassenplans durch die Vorinstanz. Das Verwaltungsgericht hielt fest, dass eine Auszonung des in Frage stehenden nördlichen Teils des Grundstücks Nr. 007 gemäss kommunalem "Arbeitsprogramm Auszonungen" der Beschwerdebeteiligten (Gemeinde) ernsthaft in Betracht falle und eine weitere Erschliessung des Grundstücks solange nicht erfolgen könne, als die Überprüfung der Bauzone nicht abgeschlossen sei. Ein öffentliches Interesse am Erlass des Teilstrassenplans bzw. an der öffentlichen Widmung der dort angeführten Flächen als Gemeindestrasse dritter Klasse sei unter den gegebenen Umständen – jedenfalls derzeit – nicht ausgewiesen. Eine Aufrechterhaltung des Teilstrassenplans liess sich auch nicht mit Gründen des Vertrauensschutzes oder der Gleichbehandlung rechtfertigen. Bestätigung des angefochtenen Rekursentscheids (Verwaltungsgericht, B 2021/45). Die gegen dieses Urteil erhobene Beschwerde ans Bundesgericht wurde mit Urteil vom 16. Mai 2023 gutgeheissen (Verfahren 1C_191/2022).</w:t>
      </w:r>
    </w:p>
    <w:p>
      <w:pPr>
        <w:pStyle w:val="Heading2"/>
      </w:pPr>
      <w:r>
        <w:t>Volltext</w:t>
      </w:r>
    </w:p>
    <w:p>
      <w:r>
        <w:t>St.Gallen Verwaltungsgericht 13.02.2022 B 2021/45 Saint-Gall Verwaltungsgericht 13.02.2022 B 2021/45 San Gallo Verwaltungsgericht 13.02.2022 B 2021/45</w:t>
      </w:r>
    </w:p>
    <w:p>
      <w:r>
        <w:t>Teilstrassenplan. Erschliessung potentieller Auszonungsgebiete. Art. 7 ff. und 12-14 StrG (sG  732.1). Art. 19 Abs. 1 RPG (SR 700).</w:t>
      </w:r>
    </w:p>
    <w:p>
      <w:r>
        <w:t>Streitig war die Rechtmässigkeit der Aufhebung eines Teilstrassenplans durch die Vorinstanz. Das Verwaltungsgericht hielt fest, dass eine Auszonung des in Frage stehenden nördlichen Teils des Grundstücks Nr. 007 gemäss kommunalem "Arbeitsprogramm Auszonungen" der Beschwerdebeteiligten (Gemeinde) ernsthaft in Betracht falle und eine weitere Erschliessung des Grundstücks solange nicht erfolgen könne, als die Überprüfung der Bauzone nicht abgeschlossen sei. Ein öffentliches Interesse am Erlass des Teilstrassenplans bzw. an der öffentlichen Widmung der dort angeführten Flächen als Gemeindestrasse dritter Klasse sei unter den gegebenen Umständen – jedenfalls derzeit – nicht ausgewiesen. Eine Aufrechterhaltung des Teilstrassenplans liess sich auch nicht mit Gründen des Vertrauensschutzes oder der Gleichbehandlung rechtfertigen. Bestätigung des angefochtenen Rekursentscheids (Verwaltungsgericht, B 2021/45).</w:t>
      </w:r>
    </w:p>
    <w:p>
      <w:r>
        <w:t>Die gegen dieses Urteil erhobene Beschwerde ans Bundesgericht wurde mit Urteil vom 16. Mai 2023 gutgeheissen (Verfahren 1C_191/2022).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