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2019/225, B 2019/229 vom 9. Juni 2020</w:t>
      </w:r>
    </w:p>
    <w:p>
      <w:r>
        <w:t>SG Gerichte, 2020-06-09, DE</w:t>
      </w:r>
    </w:p>
    <w:p>
      <w:r>
        <w:rPr>
          <w:b/>
        </w:rPr>
        <w:t xml:space="preserve">Quelle: </w:t>
      </w:r>
      <w:r>
        <w:t>https://mcp.opencaselaw.ch/entscheid/sg_gerichte_B_2019_225__B_2019_229</w:t>
      </w:r>
    </w:p>
    <w:p>
      <w:r>
        <w:t>FR: SG_GERICHTE B 2019/225, B 2019/229 du 9 juin 2020</w:t>
      </w:r>
    </w:p>
    <w:p>
      <w:r>
        <w:t>IT: SG_GERICHTE B 2019/225, B 2019/229 del 9 giugno 2020</w:t>
      </w:r>
    </w:p>
    <w:p>
      <w:pPr>
        <w:pStyle w:val="Heading2"/>
      </w:pPr>
      <w:r>
        <w:t>Regeste</w:t>
      </w:r>
    </w:p>
    <w:p>
      <w:r>
        <w:t>Art. 80a und Art. 82 AsylG; Sozialhilfe bzw. Nothilfe für abgewiesene Asylbewerber, Zuweisung an Gemeinde. Art. 82 Abs. 1 AsylG beschränkt den Rechtssetzungsspielraum der Kantone, indem abgewiesenen Asylbewerbern, die innerhalb der Ausreisefrist und auch später die Schweiz nicht verlassen, lediglich ein Anspruch auf Nothilfe zukommt. Deshalb bedarf die Reduktion der Unterstützung auf Nothilfe weder einer eigenständigen kantonalen Rechtsgrundlage noch einer entsprechenden Verfügung. Die Zu- oder Umteilung von Nothilfebezügern greift grundsätzlich nicht in die Rechtsstellung des Nothilfeempfängers ein und kann somit regelmässig formlos ergehen. Sie ist damit in der Regel auch nicht anfechtbar. Anders kann es sich dann verhalten, wenn ein legitimes Rechtsschutzinteresse der Nothilfebezüger im Raum steht. Dies kann beispielsweise dann der Fall sein, wenn die Einheit der Familie durch die Zuweisung nicht gewahrt würde (Verwaltungsgericht, B 2019/225, B 2019/229). Die gegen dieses Urteil erhobene Beschwerde ans Bundesgericht wurde mit Urteil vom 9. Juni 2020 abgewiesen (Verfahren 8C_225/2020, vorher 2D_14/2020). Auf das Revisionsgesuch trat das Bundesgericht mit Urteil vom 22. Dezember 2020 nicht ein (Verfahren 8F_13/2020).</w:t>
      </w:r>
    </w:p>
    <w:p>
      <w:pPr>
        <w:pStyle w:val="Heading2"/>
      </w:pPr>
      <w:r>
        <w:t>Volltext</w:t>
      </w:r>
    </w:p>
    <w:p>
      <w:r>
        <w:t>St.Gallen Versicherungsgericht 20.02.2020 B 2019/225, B 2019/229 Saint-Gall Versicherungsgericht 20.02.2020 B 2019/225, B 2019/229 San Gallo Versicherungsgericht 20.02.2020 B 2019/225, B 2019/229</w:t>
      </w:r>
    </w:p>
    <w:p>
      <w:r>
        <w:t>Art. 80a und Art. 82 AsylG; Sozialhilfe bzw. Nothilfe für abgewiesene Asylbewerber, Zuweisung an Gemeinde.</w:t>
      </w:r>
    </w:p>
    <w:p>
      <w:r>
        <w:t>Art. 82 Abs. 1 AsylG beschränkt den Rechtssetzungsspielraum der Kantone, indem abgewiesenen Asylbewerbern, die innerhalb der Ausreisefrist und auch später die Schweiz nicht verlassen, lediglich ein Anspruch auf Nothilfe zukommt. Deshalb bedarf die Reduktion der Unterstützung auf Nothilfe weder einer eigenständigen kantonalen Rechtsgrundlage noch einer entsprechenden Verfügung. Die Zu- oder Umteilung von Nothilfebezügern greift grundsätzlich nicht in die Rechtsstellung des Nothilfeempfängers ein und kann somit regelmässig formlos ergehen. Sie ist damit in der Regel auch nicht anfechtbar. Anders kann es sich dann verhalten, wenn ein legitimes Rechtsschutzinteresse der Nothilfebezüger im Raum steht. Dies kann beispielsweise dann der Fall sein, wenn die Einheit der Familie durch die Zuweisung nicht gewahrt würde (Verwaltungsgericht, B 2019/225, B 2019/229).</w:t>
      </w:r>
    </w:p>
    <w:p>
      <w:r>
        <w:t>Die gegen dieses Urteil erhobene Beschwerde ans Bundesgericht wurde mit Urteil vom 9. Juni 2020 abgewiesen (Verfahren 8C_225/2020, vorher 2D_14/2020). Auf das Revisionsgesuch trat das Bundesgericht mit Urteil vom 22. Dezember 2020 nicht ein (Verfahren 8F_13/2020).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