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2019/210 vom 30. August 2021</w:t>
      </w:r>
    </w:p>
    <w:p>
      <w:r>
        <w:t>SG Gerichte, 2021-08-30, DE</w:t>
      </w:r>
    </w:p>
    <w:p>
      <w:r>
        <w:rPr>
          <w:b/>
        </w:rPr>
        <w:t xml:space="preserve">Quelle: </w:t>
      </w:r>
      <w:r>
        <w:t>https://mcp.opencaselaw.ch/entscheid/sg_gerichte_B_2019_210</w:t>
      </w:r>
    </w:p>
    <w:p>
      <w:r>
        <w:t>FR: SG_GERICHTE B 2019/210 du 30 août 2021</w:t>
      </w:r>
    </w:p>
    <w:p>
      <w:r>
        <w:t>IT: SG_GERICHTE B 2019/210 del 30 agosto 2021</w:t>
      </w:r>
    </w:p>
    <w:p>
      <w:pPr>
        <w:pStyle w:val="Heading2"/>
      </w:pPr>
      <w:r>
        <w:t>Regeste</w:t>
      </w:r>
    </w:p>
    <w:p>
      <w:r>
        <w:t>Strassenrecht. Art. 8 Abs. 3 und 14 StrG (sGS 732.1). Art. 21 Abs. 2 RPG (SR 700). Art. 5 Abs. 2 und 36 Abs. 2 BV (SR 101). Streitig war, ob die Vorinstanz die im Beschluss der Gemeinde erfolgte Ablehnung der Entlassung eines Teilstrassenstücks aus dem Strassenplan bzw. die Weiterführung der bestehenden Klassierung als Gemeindestrasse dritter Klasse im angefochtenen Entscheid zu Recht bestätigte. Das Verwaltungsgericht kam zum Schluss, dass die Gemeinde angesichts des Fehlens geänderter Verhältnisse den ihr zustehenden Rahmen mit ihrem Entscheid, die Klassierung des Strassenstücks beizubehalten bzw. einer Entlassung desselben aus dem Strassenplan nicht zuzustimmen, nicht überschritten habe. Die Beibehaltung der Klassierung halte auch den Grundsatz der Verhältnismässigkeit ein (Verwaltungsgericht, B 2019/210). Die gegen dieses Urteil erhobene Beschwerde ans Bundesgericht wurde mit Urteil vom 30. August 2021 abgewiesen (Verfahren 1C_450/2020).</w:t>
      </w:r>
    </w:p>
    <w:p>
      <w:pPr>
        <w:pStyle w:val="Heading2"/>
      </w:pPr>
      <w:r>
        <w:t>Volltext</w:t>
      </w:r>
    </w:p>
    <w:p>
      <w:r>
        <w:t>St.Gallen Verwaltungsgericht 25.06.2020 B 2019/210 Saint-Gall Verwaltungsgericht 25.06.2020 B 2019/210 San Gallo Verwaltungsgericht 25.06.2020 B 2019/210</w:t>
      </w:r>
    </w:p>
    <w:p>
      <w:r>
        <w:t>Strassenrecht. Art. 8 Abs. 3 und 14 StrG (sGS 732.1). Art. 21 Abs. 2 RPG (SR 700). Art. 5 Abs. 2 und 36 Abs. 2 BV (SR 101). Streitig war, ob die Vorinstanz die im Beschluss der Gemeinde erfolgte Ablehnung der Entlassung eines Teilstrassenstücks aus dem Strassenplan bzw. die Weiterführung der bestehenden Klassierung als Gemeindestrasse dritter Klasse im angefochtenen Entscheid zu Recht bestätigte.</w:t>
      </w:r>
    </w:p>
    <w:p>
      <w:r>
        <w:t>Das Verwaltungsgericht kam zum Schluss, dass die Gemeinde angesichts des Fehlens geänderter Verhältnisse den ihr zustehenden Rahmen mit ihrem Entscheid, die Klassierung des Strassenstücks beizubehalten bzw. einer Entlassung desselben aus dem Strassenplan nicht zuzustimmen, nicht überschritten habe. Die Beibehaltung der Klassierung halte auch den Grundsatz der Verhältnismässigkeit ein (Verwaltungsgericht, B 2019/210). Die gegen dieses Urteil erhobene Beschwerde ans Bundesgericht wurde mit Urteil vom 30. August 2021 abgewiesen (Verfahren 1C_450/2020).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