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2019/207 vom 22. Juni 2021</w:t>
      </w:r>
    </w:p>
    <w:p>
      <w:r>
        <w:t>SG Gerichte, 2021-06-22, DE</w:t>
      </w:r>
    </w:p>
    <w:p>
      <w:r>
        <w:rPr>
          <w:b/>
        </w:rPr>
        <w:t xml:space="preserve">Quelle: </w:t>
      </w:r>
      <w:r>
        <w:t>https://mcp.opencaselaw.ch/entscheid/sg_gerichte_B_2019_207</w:t>
      </w:r>
    </w:p>
    <w:p>
      <w:r>
        <w:t>FR: SG_GERICHTE B 2019/207 du 22 juin 2021</w:t>
      </w:r>
    </w:p>
    <w:p>
      <w:r>
        <w:t>IT: SG_GERICHTE B 2019/207 del 22 giugno 2021</w:t>
      </w:r>
    </w:p>
    <w:p>
      <w:pPr>
        <w:pStyle w:val="Heading2"/>
      </w:pPr>
      <w:r>
        <w:t>Regeste</w:t>
      </w:r>
    </w:p>
    <w:p>
      <w:r>
        <w:t>Leistungen der Gemeinde an die Sanierung einer Schiessanlage, Art. 133 Abs. 1 Satz 1 MG, Art. 2 Abs. 1, Art. 7 Abs. 1 Ingress und lit. c, Art. 8 Satz 1 f. SchAV. Die Beschwerdegegnerin ermöglicht ihren Schiesspflichtigen für ausserdienstliche militärische Schiessübungen den Zugang zu zwei 300-m-Schiessanlagen und kommt damit ihren schiessrechtlichen Pflichten innerhalb ihres Gemeindegebietes nach. Damit besteht keine militärrechtliche Verpflichtung der Beschwerdegegnerin, sich in die 300-m-Schiessanlage der Beschwerdeführerin einzukaufen und angemessene Beiträge an deren Unterhalt und Erneuerung zu entrichten (E. 3), (Verwaltungsgericht, B 2019/207). Die gegen dieses Urteil erhobene Beschwerde ans Bundesgericht wurde mit Urteil vom 22. Juni 2021 abgewiesen (Verfahren 1C_293/2020).</w:t>
      </w:r>
    </w:p>
    <w:p>
      <w:pPr>
        <w:pStyle w:val="Heading2"/>
      </w:pPr>
      <w:r>
        <w:t>Volltext</w:t>
      </w:r>
    </w:p>
    <w:p>
      <w:r>
        <w:t>St.Gallen Verwaltungsgericht 15.04.2020 B 2019/207 Saint-Gall Verwaltungsgericht 15.04.2020 B 2019/207 San Gallo Verwaltungsgericht 15.04.2020 B 2019/207</w:t>
      </w:r>
    </w:p>
    <w:p>
      <w:r>
        <w:t>Leistungen der Gemeinde an die Sanierung einer Schiessanlage, Art. 133 Abs. 1 Satz 1 MG, Art. 2 Abs. 1, Art. 7 Abs. 1 Ingress und lit. c, Art. 8 Satz 1 f. SchAV.</w:t>
      </w:r>
    </w:p>
    <w:p>
      <w:r>
        <w:t>Die Beschwerdegegnerin ermöglicht ihren Schiesspflichtigen für ausserdienstliche militärische Schiessübungen den Zugang zu zwei 300-m-Schiessanlagen und kommt damit ihren schiessrechtlichen Pflichten innerhalb ihres Gemeindegebietes nach. Damit besteht keine militärrechtliche Verpflichtung der Beschwerdegegnerin, sich in die 300-m-Schiessanlage der Beschwerdeführerin einzukaufen und angemessene Beiträge an deren Unterhalt und Erneuerung zu entrichten (E. 3), (Verwaltungsgericht, B 2019/207).</w:t>
      </w:r>
    </w:p>
    <w:p>
      <w:r>
        <w:t>Die gegen dieses Urteil erhobene Beschwerde ans Bundesgericht wurde mit Urteil vom 22. Juni 2021 abgewiesen (Verfahren 1C_293/2020).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