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2018/95 vom 27. September 2018</w:t>
      </w:r>
    </w:p>
    <w:p>
      <w:r>
        <w:t>SG Gerichte, 2018-09-27, DE</w:t>
      </w:r>
    </w:p>
    <w:p>
      <w:r>
        <w:rPr>
          <w:b/>
        </w:rPr>
        <w:t xml:space="preserve">Quelle: </w:t>
      </w:r>
      <w:r>
        <w:t>https://mcp.opencaselaw.ch/entscheid/sg_gerichte_B_2018_95</w:t>
      </w:r>
    </w:p>
    <w:p>
      <w:r>
        <w:t>FR: SG_GERICHTE B 2018/95 du 27 septembre 2018</w:t>
      </w:r>
    </w:p>
    <w:p>
      <w:r>
        <w:t>IT: SG_GERICHTE B 2018/95 del 27 settembre 2018</w:t>
      </w:r>
    </w:p>
    <w:p>
      <w:pPr>
        <w:pStyle w:val="Heading2"/>
      </w:pPr>
      <w:r>
        <w:t>Regeste</w:t>
      </w:r>
    </w:p>
    <w:p>
      <w:r>
        <w:t>Ausländerrecht, Art. 50 Abs. 1 lit. b und Abs. 2 AuG.Die Beschwerdeführerin wurde von ihrem Ehemann und dessen Familie bei ihren beiden Schwangerschaften jeweils unter Androhung von Nachteilen aufgefordert, sie abzubrechen. Aufgrund des Verhaltens des Ehemannes der Beschwerdeführerin – er reiste vorübergehend nach Serbien aus, um eine Reduktion seiner Unterhaltspflichten im Eheschutzverfahren zu bewirken, im ausländischen Scheidungsverfahren hat er vorsorglich den Aufenthalts- und Wohnort des Kindes in der Schweiz durchgesetzt – ist die Befürchtung der Beschwerdeführerin, in ihrer Heimat einem Sorgerechtsstreit entgegen sehen zu müssen, nicht bloss abstrakt. Die Beschwerde ist dementsprechend gutzuheissen (Verwaltungsgericht, B 2018/95).</w:t>
      </w:r>
    </w:p>
    <w:p>
      <w:pPr>
        <w:pStyle w:val="Heading2"/>
      </w:pPr>
      <w:r>
        <w:t>Volltext</w:t>
      </w:r>
    </w:p>
    <w:p>
      <w:r>
        <w:t>St.Gallen Verwaltungsgericht 27.09.2018 B 2018/95 Saint-Gall Verwaltungsgericht 27.09.2018 B 2018/95 San Gallo Verwaltungsgericht 27.09.2018 B 2018/95</w:t>
      </w:r>
    </w:p>
    <w:p>
      <w:r>
        <w:t>Ausländerrecht, Art. 50 Abs. 1 lit. b und Abs. 2 AuG.Die Beschwerdeführerin wurde von ihrem Ehemann und dessen Familie bei ihren beiden Schwangerschaften jeweils unter Androhung von Nachteilen aufgefordert, sie abzubrechen. Aufgrund des Verhaltens des Ehemannes der Beschwerdeführerin – er reiste vorübergehend nach Serbien aus, um eine Reduktion seiner Unterhaltspflichten im Eheschutzverfahren zu bewirken, im ausländischen Scheidungsverfahren hat er vorsorglich den Aufenthalts- und Wohnort des Kindes in der Schweiz durchgesetzt – ist die Befürchtung der Beschwerdeführerin, in ihrer Heimat einem Sorgerechtsstreit entgegen sehen zu müssen, nicht bloss abstrakt. Die Beschwerde ist dementsprechend gutzuheissen (Verwaltungsgericht, B 2018/95).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