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2018/75 vom 21. März 2019</w:t>
      </w:r>
    </w:p>
    <w:p>
      <w:r>
        <w:t>SG Gerichte, 2019-03-21, DE</w:t>
      </w:r>
    </w:p>
    <w:p>
      <w:r>
        <w:rPr>
          <w:b/>
        </w:rPr>
        <w:t xml:space="preserve">Quelle: </w:t>
      </w:r>
      <w:r>
        <w:t>https://mcp.opencaselaw.ch/entscheid/sg_gerichte_B_2018_75</w:t>
      </w:r>
    </w:p>
    <w:p>
      <w:r>
        <w:t>FR: SG_GERICHTE B 2018/75 du 21 mars 2019</w:t>
      </w:r>
    </w:p>
    <w:p>
      <w:r>
        <w:t>IT: SG_GERICHTE B 2018/75 del 21 marzo 2019</w:t>
      </w:r>
    </w:p>
    <w:p>
      <w:pPr>
        <w:pStyle w:val="Heading2"/>
      </w:pPr>
      <w:r>
        <w:t>Regeste</w:t>
      </w:r>
    </w:p>
    <w:p>
      <w:r>
        <w:t>Ausseramtliche Parteientschädigung im Verwaltungsverfahren, Art. 98 VRP, Art. 98ter VRP, Art. 95 Abs. 1 lit. b ZPO, Art. 106 Abs. 1 Satz 1 ZPO, Art. 242 ZPO, Art. 19 HonO, Art. 22 Abs. 1 lit. a HonO. Die Gegenstandslosigkeit des Rekursverfahrens wurde durch die Beschwerdeführerin verursacht, da sie das Baugesuch zurückgezogen hatte. Damit gilt sie als unterliegende Partei. Im Rekursverfahren besteht kein unbedingter Anspruch auf ausseramtliche Entschädigung, sondern nur soweit eine Entschädigung aufgrund der Sach- und Rechtslage als notwendig und angemessen erscheint. Vorliegend wurde die Notwendigkeit bejaht. Die Höhe der ausseramtlichen Entschädigung wurde ermessensweise und pauschal festgesetzt, da der Rechtsvertreter der Beschwerdegegner keine Kostennote eingereicht hatte. Im Beschwerdeverfahren reichte der Rechtsvertreter der Beschwerdegegner die Kostennote nach. Allerdings stellt die Honorarnote nur eines von verschiedenen Bemessungskriterien dar. Die Vorinstanz bemass die pauschale ausseramtliche Parteientschädigung damit weder willkürlich noch unverhältnismässig hoch. Abweisung der Beschwerde (Verwaltungsgericht, B 2018/75). Entscheid vom 21. März 2019</w:t>
      </w:r>
    </w:p>
    <w:p>
      <w:pPr>
        <w:pStyle w:val="Heading2"/>
      </w:pPr>
      <w:r>
        <w:t>Volltext</w:t>
      </w:r>
    </w:p>
    <w:p>
      <w:r>
        <w:t>St.Gallen Verwaltungsgericht 21.03.2019 B 2018/75 Saint-Gall Verwaltungsgericht 21.03.2019 B 2018/75 San Gallo Verwaltungsgericht 21.03.2019 B 2018/75</w:t>
      </w:r>
    </w:p>
    <w:p>
      <w:r>
        <w:t>Ausseramtliche Parteientschädigung im Verwaltungsverfahren, Art. 98 VRP, Art. 98ter VRP, Art. 95 Abs. 1 lit. b ZPO, Art. 106 Abs. 1 Satz 1 ZPO, Art. 242 ZPO, Art. 19 HonO, Art. 22 Abs. 1 lit. a HonO. Die Gegenstandslosigkeit des Rekursverfahrens wurde durch die Beschwerdeführerin verursacht, da sie das Baugesuch zurückgezogen hatte. Damit gilt sie als unterliegende Partei. Im Rekursverfahren besteht kein unbedingter Anspruch auf ausseramtliche Entschädigung, sondern nur soweit eine Entschädigung aufgrund der Sach- und Rechtslage als notwendig und angemessen erscheint. Vorliegend wurde die Notwendigkeit bejaht. Die Höhe der ausseramtlichen Entschädigung wurde ermessensweise und pauschal festgesetzt, da der Rechtsvertreter der Beschwerdegegner keine Kostennote eingereicht hatte. Im Beschwerdeverfahren reichte der Rechtsvertreter der Beschwerdegegner die Kostennote nach. Allerdings stellt die Honorarnote nur eines von verschiedenen Bemessungskriterien dar. Die Vorinstanz bemass die pauschale ausseramtliche Parteientschädigung damit weder willkürlich noch unverhältnismässig hoch. Abweisung der Beschwerde (Verwaltungsgericht, B 2018/75). Entscheid vom 21. März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