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2018/49 vom 26. November 2016</w:t>
      </w:r>
    </w:p>
    <w:p>
      <w:r>
        <w:t>SG Gerichte, 2016-11-26, DE</w:t>
      </w:r>
    </w:p>
    <w:p>
      <w:r>
        <w:rPr>
          <w:b/>
        </w:rPr>
        <w:t xml:space="preserve">Quelle: </w:t>
      </w:r>
      <w:r>
        <w:t>https://mcp.opencaselaw.ch/entscheid/sg_gerichte_B_2018_49</w:t>
      </w:r>
    </w:p>
    <w:p>
      <w:r>
        <w:t>FR: SG_GERICHTE B 2018/49 du 26 novembre 2016</w:t>
      </w:r>
    </w:p>
    <w:p>
      <w:r>
        <w:t>IT: SG_GERICHTE B 2018/49 del 26 novembre 2016</w:t>
      </w:r>
    </w:p>
    <w:p>
      <w:pPr>
        <w:pStyle w:val="Heading2"/>
      </w:pPr>
      <w:r>
        <w:t>Regeste</w:t>
      </w:r>
    </w:p>
    <w:p>
      <w:r>
        <w:t>Ausländerrecht, Gesuch um Unterbreitung als schwerwiegender persönlicher Härtefall, Art. 30 Abs. 1 lit. b AuG.A.__ und ihre Tochter K.__ (geb. 2001) reisten am 26. November 2016 zurück nach Serbien, nachdem ihnen die Verlängerung der Aufenthaltsbewilligungen verweigert und die Wegweisung aus der Schweiz angeordnet worden war sowie die dagegen erhobenen Rechtsmittel erfolglos geblieben waren. Alleine deshalb, dass in der Schweiz Verwandte leben, begründet noch keine Annahme eines Härtefalls. Weiter ist K.__ finanziell noch von ihrer Mutter abhängig, deren finanziellen Verhältnisse nicht gesichert sind. Schliesslich handelt es sich bei den Schwierigkeiten, sich im Heimatland einzugliedern, um allgemeine Konsequenzen, die für einen Grossteil von Ausländern und deren Kinder gelten, die in ein Land zurückkehren müssen, das ihnen nicht dieselben finanziellen Möglichkeiten bieten kann wie die Schweiz. Es ist zwar verständlich, dass Personen wie K.__, welche in der Schweiz geboren sind, hier die Schule besucht haben und aufgrund ihrer Minderjährigkeit bei Rückkehr der Eltern ins Heimatland diesen folgen müssen, zunächst mit ihrem Schicksal hadern. Es wäre jedoch am Gesetzgeber gelegen gewesen, für solche Fälle eine generelle Ausnahmeregelung zu treffen. Die Bestimmung von Art. 30 Abs. 1 lit. b AuG kann hierfür jedoch nicht angerufen werden; die Voraussetzungen des persönlichen Härtefalls sind vielmehr restriktiv handzuhaben (Verwaltungsgericht, B 2018/49). Auf eine gegen dieses Urteil erhobene Beschwerde trat das Bundesgericht mit Urteil vom 13. Februar 2020 nicht ein (Verfahren 2C_819/2018).</w:t>
      </w:r>
    </w:p>
    <w:p>
      <w:pPr>
        <w:pStyle w:val="Heading2"/>
      </w:pPr>
      <w:r>
        <w:t>Volltext</w:t>
      </w:r>
    </w:p>
    <w:p>
      <w:r>
        <w:t>St.Gallen Verwaltungsgericht 08.08.2018 B 2018/49 Saint-Gall Verwaltungsgericht 08.08.2018 B 2018/49 San Gallo Verwaltungsgericht 08.08.2018 B 2018/49</w:t>
      </w:r>
    </w:p>
    <w:p>
      <w:r>
        <w:t>Ausländerrecht, Gesuch um Unterbreitung als schwerwiegender persönlicher Härtefall, Art. 30 Abs. 1 lit. b AuG.A.__ und ihre Tochter K.__ (geb. 2001) reisten am 26. November 2016 zurück nach Serbien, nachdem ihnen die Verlängerung der Aufenthaltsbewilligungen verweigert und die Wegweisung aus der Schweiz angeordnet worden war sowie die dagegen erhobenen Rechtsmittel erfolglos geblieben waren. Alleine deshalb, dass in der Schweiz Verwandte leben, begründet noch keine Annahme eines Härtefalls. Weiter ist K.__ finanziell noch von ihrer Mutter abhängig, deren finanziellen Verhältnisse nicht gesichert sind. Schliesslich handelt es sich bei den Schwierigkeiten, sich im Heimatland einzugliedern, um allgemeine Konsequenzen, die für einen Grossteil von Ausländern und deren Kinder gelten, die in ein Land zurückkehren müssen, das ihnen nicht dieselben finanziellen Möglichkeiten bieten kann wie die Schweiz. Es ist zwar verständlich, dass Personen wie K.__, welche in der Schweiz geboren sind, hier die Schule besucht haben und aufgrund ihrer Minderjährigkeit bei Rückkehr der Eltern ins Heimatland diesen folgen müssen, zunächst mit ihrem Schicksal hadern. Es wäre jedoch am Gesetzgeber gelegen gewesen, für solche Fälle eine generelle Ausnahmeregelung zu treffen. Die Bestimmung von Art. 30 Abs. 1 lit. b AuG kann hierfür jedoch nicht angerufen werden; die Voraussetzungen des persönlichen Härtefalls sind vielmehr restriktiv handzuhaben (Verwaltungsgericht, B 2018/49). Auf eine gegen dieses Urteil erhobene Beschwerde trat das Bundesgericht mit Urteil vom 13. Februar 2020 nicht ein (Verfahren 2C_819/2018).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