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2018/248 vom 26. April 2019</w:t>
      </w:r>
    </w:p>
    <w:p>
      <w:r>
        <w:t>SG Gerichte, 2019-04-26, DE</w:t>
      </w:r>
    </w:p>
    <w:p>
      <w:r>
        <w:rPr>
          <w:b/>
        </w:rPr>
        <w:t xml:space="preserve">Quelle: </w:t>
      </w:r>
      <w:r>
        <w:t>https://mcp.opencaselaw.ch/entscheid/sg_gerichte_B_2018_248</w:t>
      </w:r>
    </w:p>
    <w:p>
      <w:r>
        <w:t>FR: SG_GERICHTE B 2018/248 du 26 avril 2019</w:t>
      </w:r>
    </w:p>
    <w:p>
      <w:r>
        <w:t>IT: SG_GERICHTE B 2018/248 del 26 aprile 2019</w:t>
      </w:r>
    </w:p>
    <w:p>
      <w:pPr>
        <w:pStyle w:val="Heading2"/>
      </w:pPr>
      <w:r>
        <w:t>Regeste</w:t>
      </w:r>
    </w:p>
    <w:p>
      <w:r>
        <w:t>Baurecht, Baubewilligung ausserhalb der Bauzonen, Nichteintreten, Art. 5 Abs. 3 und Art. 9 BV, Art. 12b NHG, Art. 139 Abs. 3 Ingress Satz 1, Art. 152, Art. 153 Abs. 1 PBG, in Verbindung mit Art. 30 Abs. 1 VRP und Art. 142 Abs. 1 und 3 ZPO, Art. 5 EuFrüb, Art. 2 lit. b RLG, Art. 30bis VRP, Art. 1 Abs. 3 Satz 1 in Verbindung mit Art. 38 VwVG. In der vorliegend zu beurteilenden Bauanzeige finden sich keinerlei Hinweise auf die raumplanerische Einordnung und die betroffenen bundes- und kantonalrechtlich geschützten Gebiete. Deswegen begann die Einsprachefrist erst mit deren tatsächlicher Kenntnisnahme zu laufen, zumal sich die Beschwerdeführerin nicht treuwidrig verhalten hat (Verwaltungsgericht, B 2018/248). Auf eine gegen dieses Urteil erhobene Beschwerde trat das Bundesgericht mit Urteil vom 26. April 2019 nicht ein (Verfahren 1C_213/2019). Entscheid vom 14. März 2019</w:t>
      </w:r>
    </w:p>
    <w:p>
      <w:pPr>
        <w:pStyle w:val="Heading2"/>
      </w:pPr>
      <w:r>
        <w:t>Volltext</w:t>
      </w:r>
    </w:p>
    <w:p>
      <w:r>
        <w:t>St.Gallen Verwaltungsgericht 14.03.2019 B 2018/248 Saint-Gall Verwaltungsgericht 14.03.2019 B 2018/248 San Gallo Verwaltungsgericht 14.03.2019 B 2018/248</w:t>
      </w:r>
    </w:p>
    <w:p>
      <w:r>
        <w:t>Baurecht, Baubewilligung ausserhalb der Bauzonen, Nichteintreten, Art. 5 Abs. 3 und Art. 9 BV, Art. 12b NHG, Art. 139 Abs. 3 Ingress Satz 1, Art. 152, Art. 153 Abs. 1 PBG, in Verbindung mit Art. 30 Abs. 1 VRP und Art. 142 Abs. 1 und 3 ZPO, Art. 5 EuFrüb, Art. 2 lit. b RLG, Art. 30bis VRP, Art. 1 Abs. 3 Satz 1 in Verbindung mit Art. 38 VwVG. In der vorliegend zu beurteilenden Bauanzeige finden sich keinerlei Hinweise auf die raumplanerische Einordnung und die betroffenen bundes- und kantonalrechtlich geschützten Gebiete. Deswegen begann die Einsprachefrist erst mit deren tatsächlicher Kenntnisnahme zu laufen, zumal sich die Beschwerdeführerin nicht treuwidrig verhalten hat (Verwaltungsgericht, B 2018/248). Auf eine gegen dieses Urteil erhobene Beschwerde trat das Bundesgericht mit Urteil vom 26. April 2019 nicht ein (Verfahren 1C_213/2019). Entscheid vom 14. März 2019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