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2018/185 vom 3. Februar 2020</w:t>
      </w:r>
    </w:p>
    <w:p>
      <w:r>
        <w:t>SG Gerichte, 2020-02-03, DE</w:t>
      </w:r>
    </w:p>
    <w:p>
      <w:r>
        <w:rPr>
          <w:b/>
        </w:rPr>
        <w:t xml:space="preserve">Quelle: </w:t>
      </w:r>
      <w:r>
        <w:t>https://mcp.opencaselaw.ch/entscheid/sg_gerichte_B_2018_185</w:t>
      </w:r>
    </w:p>
    <w:p>
      <w:r>
        <w:t>FR: SG_GERICHTE B 2018/185 du 3 février 2020</w:t>
      </w:r>
    </w:p>
    <w:p>
      <w:r>
        <w:t>IT: SG_GERICHTE B 2018/185 del 3 febbraio 2020</w:t>
      </w:r>
    </w:p>
    <w:p>
      <w:pPr>
        <w:pStyle w:val="Heading2"/>
      </w:pPr>
      <w:r>
        <w:t>Regeste</w:t>
      </w:r>
    </w:p>
    <w:p>
      <w:r>
        <w:t>Strassenrecht, Teilstrassenplan, Widmung einer Privatstrasse zum Gemeingebrauch, Art. 1 ff. und Art. 7 ff. StrG. Die Beschwerdebeteiligte gehört zu jenen Gemeinden, welche den Auszonungsprozess im November 2018 hätten starten müssen. Es kann nicht ausgeschlossen werden, dass die fragliche kleine, peripher gelegene Ferienhaussiedlung einer Nichtbauzone zugewiesen werden muss. Ohne Klärung dieser Frage kann nicht davon ausgegangen werden, dass der Erlass des umstrittenen Teilstrassenplans der Erschliessung von Grundstücken dient, die sich allesamt im Baugebiet befinden (E. 5.3), (Verwaltungsgericht, B 2018/185). Die gegen dieses Urteil erhobene Beschwerde ans Bundesgericht wurde mit Urteil vom 3. Februar 2020 abgewiesen (Verfahren 1C_248/2019).</w:t>
      </w:r>
    </w:p>
    <w:p>
      <w:pPr>
        <w:pStyle w:val="Heading2"/>
      </w:pPr>
      <w:r>
        <w:t>Volltext</w:t>
      </w:r>
    </w:p>
    <w:p>
      <w:r>
        <w:t>St.Gallen Verwaltungsgericht 24.01.2019 B 2018/185 Saint-Gall Verwaltungsgericht 24.01.2019 B 2018/185 San Gallo Verwaltungsgericht 24.01.2019 B 2018/185</w:t>
      </w:r>
    </w:p>
    <w:p>
      <w:r>
        <w:t>Strassenrecht, Teilstrassenplan, Widmung einer Privatstrasse zum Gemeingebrauch, Art. 1 ff. und Art. 7 ff. StrG. Die Beschwerdebeteiligte gehört zu jenen Gemeinden, welche den Auszonungsprozess im November 2018 hätten starten müssen. Es kann nicht ausgeschlossen werden, dass die fragliche kleine, peripher gelegene Ferienhaussiedlung einer Nichtbauzone zugewiesen werden muss. Ohne Klärung dieser Frage kann nicht davon ausgegangen werden, dass der Erlass des umstrittenen Teilstrassenplans der Erschliessung von Grundstücken dient, die sich allesamt im Baugebiet befinden (E. 5.3), (Verwaltungsgericht, B 2018/185). Die gegen dieses Urteil erhobene Beschwerde ans Bundesgericht wurde mit Urteil vom 3. Februar 2020 abgewiesen (Verfahren 1C_248/2019).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