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2018/140 vom 12. September 2018</w:t>
      </w:r>
    </w:p>
    <w:p>
      <w:r>
        <w:t>SG Gerichte, 2018-09-12, DE</w:t>
      </w:r>
    </w:p>
    <w:p>
      <w:r>
        <w:rPr>
          <w:b/>
        </w:rPr>
        <w:t xml:space="preserve">Quelle: </w:t>
      </w:r>
      <w:r>
        <w:t>https://mcp.opencaselaw.ch/entscheid/sg_gerichte_B_2018_140</w:t>
      </w:r>
    </w:p>
    <w:p>
      <w:r>
        <w:t>FR: SG_GERICHTE B 2018/140 du 12 septembre 2018</w:t>
      </w:r>
    </w:p>
    <w:p>
      <w:r>
        <w:t>IT: SG_GERICHTE B 2018/140 del 12 settembre 2018</w:t>
      </w:r>
    </w:p>
    <w:p>
      <w:pPr>
        <w:pStyle w:val="Heading2"/>
      </w:pPr>
      <w:r>
        <w:t>Regeste</w:t>
      </w:r>
    </w:p>
    <w:p>
      <w:r>
        <w:t>Strassenverkehr, Warnungsentzug; Art. 16b Abs. 1 lit. a, Art. 31 Abs. 1 und Art. 32 Abs. 1 SVG, Art. 3 Abs. 1 und Art. 4 Abs. 2 VRV.Der Beschwerdeführer verursachte um ca. 4.54 Uhr innerorts zufolge Nichtanpassens der Geschwindigkeit an die Strassenverhältnisse und Nichtbeherrschens des Fahrzeugs einen Selbstunfall, indem er von der Strasse abkam und in die Ladenfront eines Fahrradgeschäfts prallte. Der Unfall ereignete sich innerorts bei nasser Fahrbahn in einer leichten Kurve in der Nähe eines Fussgängerstreifens. Für vorausfahrende oder nachfolgende Fahrzeuglenker, aber auch für den Gegenverkehr, und insbesondere für Fussgänger bestand dadurch angesichts des unkontrollierten Schleuderns des Unfallfahrzeugs eine zumindest abstrakte Gefahr. Nach dem Gesagten ist daher mit der Vorinstanz von einer mittelschweren Widerhandlung gemäss Art. 16b Abs. 1 lit. a SVG auszugehen (Verwaltungsgericht, B 2018/140).</w:t>
      </w:r>
    </w:p>
    <w:p>
      <w:pPr>
        <w:pStyle w:val="Heading2"/>
      </w:pPr>
      <w:r>
        <w:t>Volltext</w:t>
      </w:r>
    </w:p>
    <w:p>
      <w:r>
        <w:t>St.Gallen Verwaltungsgericht 12.09.2018 B 2018/140 Saint-Gall Verwaltungsgericht 12.09.2018 B 2018/140 San Gallo Verwaltungsgericht 12.09.2018 B 2018/140</w:t>
      </w:r>
    </w:p>
    <w:p>
      <w:r>
        <w:t>Strassenverkehr, Warnungsentzug; Art. 16b Abs. 1 lit. a, Art. 31 Abs. 1 und Art. 32 Abs. 1 SVG, Art. 3 Abs. 1 und Art. 4 Abs. 2 VRV.Der Beschwerdeführer verursachte um ca. 4.54 Uhr innerorts zufolge Nichtanpassens der Geschwindigkeit an die Strassenverhältnisse und Nichtbeherrschens des Fahrzeugs einen Selbstunfall, indem er von der Strasse abkam und in die Ladenfront eines Fahrradgeschäfts prallte. Der Unfall ereignete sich innerorts bei nasser Fahrbahn in einer leichten Kurve in der Nähe eines Fussgängerstreifens. Für vorausfahrende oder nachfolgende Fahrzeuglenker, aber auch für den Gegenverkehr, und insbesondere für Fussgänger bestand dadurch angesichts des unkontrollierten Schleuderns des Unfallfahrzeugs eine zumindest abstrakte Gefahr. Nach dem Gesagten ist daher mit der Vorinstanz von einer mittelschweren Widerhandlung gemäss Art. 16b Abs. 1 lit. a SVG auszugehen (Verwaltungsgericht, B 2018/140).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