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2017/98 vom 9. Mai 2018</w:t>
      </w:r>
    </w:p>
    <w:p>
      <w:r>
        <w:t>SG Gerichte, 2018-05-09, DE</w:t>
      </w:r>
    </w:p>
    <w:p>
      <w:r>
        <w:rPr>
          <w:b/>
        </w:rPr>
        <w:t xml:space="preserve">Quelle: </w:t>
      </w:r>
      <w:r>
        <w:t>https://mcp.opencaselaw.ch/entscheid/sg_gerichte_B_2017_98</w:t>
      </w:r>
    </w:p>
    <w:p>
      <w:r>
        <w:t>FR: SG_GERICHTE B 2017/98 du 9 mai 2018</w:t>
      </w:r>
    </w:p>
    <w:p>
      <w:r>
        <w:t>IT: SG_GERICHTE B 2017/98 del 9 maggio 2018</w:t>
      </w:r>
    </w:p>
    <w:p>
      <w:pPr>
        <w:pStyle w:val="Heading2"/>
      </w:pPr>
      <w:r>
        <w:t>Regeste</w:t>
      </w:r>
    </w:p>
    <w:p>
      <w:r>
        <w:t>Berufsausübungsverbot für Rechtsanwalt. Art. 12 lit. a BGFA. Kontaktaufnahme mit Zeugen.Verstoss gegen Art. 12 lit. a BGFA, indem der Beschwerdeführer ohne sachlichen Grund mit der Ex-Partnerin seines Mandanten in Kontakt getreten ist und damit zumindest die Gefahr einer unzulässigen Beeinflussung der potentiellen Zeugin bzw. des mutmasslichen Opfers in Kauf genommen hat.Der mittelschwere Verstoss gegen die Berufspflichten, die Berücksichtigung der früheren Sanktionen und die Würdigung der Interessen des Beschwerdeführers rechtfertigen die Anordnung eines auf ein Jahr befristetes Berufsausübungsverbot, das von der Vorinstanz verhängte zweijährige Berufsausübungsverbot erweist sich als unverhältnismässig. Teilweise Gutheissung der Beschwerde (Verwaltungsgericht, B 2017/98).Gegen dieses Urteil wurde Beschwerde beim Bundesgericht erhoben (Verfahren 2C_536/2018).</w:t>
      </w:r>
    </w:p>
    <w:p>
      <w:pPr>
        <w:pStyle w:val="Heading2"/>
      </w:pPr>
      <w:r>
        <w:t>Volltext</w:t>
      </w:r>
    </w:p>
    <w:p>
      <w:r>
        <w:t>St.Gallen Verwaltungsgericht 09.05.2018 B 2017/98 Saint-Gall Verwaltungsgericht 09.05.2018 B 2017/98 San Gallo Verwaltungsgericht 09.05.2018 B 2017/98</w:t>
      </w:r>
    </w:p>
    <w:p>
      <w:r>
        <w:t>Berufsausübungsverbot für Rechtsanwalt. Art. 12 lit. a BGFA. Kontaktaufnahme mit Zeugen.Verstoss gegen Art. 12 lit. a BGFA, indem der Beschwerdeführer ohne sachlichen Grund mit der Ex-Partnerin seines Mandanten in Kontakt getreten ist und damit zumindest die Gefahr einer unzulässigen Beeinflussung der potentiellen Zeugin bzw. des mutmasslichen Opfers in Kauf genommen hat.Der mittelschwere Verstoss gegen die Berufspflichten, die Berücksichtigung der früheren Sanktionen und die Würdigung der Interessen des Beschwerdeführers rechtfertigen die Anordnung eines auf ein Jahr befristetes Berufsausübungsverbot, das von der Vorinstanz verhängte zweijährige Berufsausübungsverbot erweist sich als unverhältnismässig. Teilweise Gutheissung der Beschwerde (Verwaltungsgericht, B 2017/98).Gegen dieses Urteil wurde Beschwerde beim Bundesgericht erhoben (Verfahren 2C_536/2018).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