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2017/58 vom 23. Mai 2018</w:t>
      </w:r>
    </w:p>
    <w:p>
      <w:r>
        <w:t>SG Gerichte, 2018-05-23, DE</w:t>
      </w:r>
    </w:p>
    <w:p>
      <w:r>
        <w:rPr>
          <w:b/>
        </w:rPr>
        <w:t xml:space="preserve">Quelle: </w:t>
      </w:r>
      <w:r>
        <w:t>https://mcp.opencaselaw.ch/entscheid/sg_gerichte_B_2017_58</w:t>
      </w:r>
    </w:p>
    <w:p>
      <w:r>
        <w:t>FR: SG_GERICHTE B 2017/58 du 23 mai 2018</w:t>
      </w:r>
    </w:p>
    <w:p>
      <w:r>
        <w:t>IT: SG_GERICHTE B 2017/58 del 23 maggio 2018</w:t>
      </w:r>
    </w:p>
    <w:p>
      <w:pPr>
        <w:pStyle w:val="Heading2"/>
      </w:pPr>
      <w:r>
        <w:t>Regeste</w:t>
      </w:r>
    </w:p>
    <w:p>
      <w:r>
        <w:t>Art. 58 Abs. 1 Ziff. 1 GVG (sGS 873.1). Art. 11 und 12 Abs. 2 VzGVG (sGS 873.11).Streitig war, ob eine durch ein Hochwasser-Ereignis beschädigte Restaurantküche als versicherter Gebäudeteil und die Wiederherstellungskosten von CHF 130‘000 als entschädigungspflichtig zu qualifizieren sind oder ob die dem Restaurationsbetrieb dienende Küche als nicht entschädigungspflichtige Fahrhabe zu gelten hat.Das Verwaltungsgericht erachtete die in Art. 12 Abs. 2 VzGVG getroffene Abgrenzung als nicht willkürlich. Eine nicht sachlich begründete Ungleichbehandlung war vorliegend nicht dargetan, zumal es gerade Zweck von Art. 12 Abs. 2 VzGVG sowie der verwaltungsinternen Abgrenzungsrichtlinie ist, eine Gleichbehandlung von gleichgelagerten Sachverhalten zu gewährleisten. Bestätigung, dass es sich bei der Restaurantküche um nicht entschädigungspflichtige Fahrhabe handle (Verwaltungsgericht, B 2017/58).</w:t>
      </w:r>
    </w:p>
    <w:p>
      <w:pPr>
        <w:pStyle w:val="Heading2"/>
      </w:pPr>
      <w:r>
        <w:t>Volltext</w:t>
      </w:r>
    </w:p>
    <w:p>
      <w:r>
        <w:t>St.Gallen Verwaltungsgericht 23.05.2018 B 2017/58 Saint-Gall Verwaltungsgericht 23.05.2018 B 2017/58 San Gallo Verwaltungsgericht 23.05.2018 B 2017/58</w:t>
      </w:r>
    </w:p>
    <w:p>
      <w:r>
        <w:t>Art. 58 Abs. 1 Ziff. 1 GVG (sGS 873.1). Art. 11 und 12 Abs. 2 VzGVG (sGS 873.11).Streitig war, ob eine durch ein Hochwasser-Ereignis beschädigte Restaurantküche als versicherter Gebäudeteil und die Wiederherstellungskosten von CHF 130‘000 als entschädigungspflichtig zu qualifizieren sind oder ob die dem Restaurationsbetrieb dienende Küche als nicht entschädigungspflichtige Fahrhabe zu gelten hat.Das Verwaltungsgericht erachtete die in Art. 12 Abs. 2 VzGVG getroffene Abgrenzung als nicht willkürlich. Eine nicht sachlich begründete Ungleichbehandlung war vorliegend nicht dargetan, zumal es gerade Zweck von Art. 12 Abs. 2 VzGVG sowie der verwaltungsinternen Abgrenzungsrichtlinie ist, eine Gleichbehandlung von gleichgelagerten Sachverhalten zu gewährleisten. Bestätigung, dass es sich bei der Restaurantküche um nicht entschädigungspflichtige Fahrhabe handle (Verwaltungsgericht, B 2017/58).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