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2017/185 vom 10. September 2020</w:t>
      </w:r>
    </w:p>
    <w:p>
      <w:r>
        <w:t>SG Gerichte, 2020-09-10, DE</w:t>
      </w:r>
    </w:p>
    <w:p>
      <w:r>
        <w:rPr>
          <w:b/>
        </w:rPr>
        <w:t xml:space="preserve">Quelle: </w:t>
      </w:r>
      <w:r>
        <w:t>https://mcp.opencaselaw.ch/entscheid/sg_gerichte_B_2017_185</w:t>
      </w:r>
    </w:p>
    <w:p>
      <w:r>
        <w:t>FR: SG_GERICHTE B 2017/185 du 10 septembre 2020</w:t>
      </w:r>
    </w:p>
    <w:p>
      <w:r>
        <w:t>IT: SG_GERICHTE B 2017/185 del 10 settembre 2020</w:t>
      </w:r>
    </w:p>
    <w:p>
      <w:pPr>
        <w:pStyle w:val="Heading2"/>
      </w:pPr>
      <w:r>
        <w:t>Regeste</w:t>
      </w:r>
    </w:p>
    <w:p>
      <w:r>
        <w:t>Art. 20 f. GSchG (SR 814.20). Art. 31 GSchV (SR 814.201). Art. 36 Abs. 2 und 3 BV (SR 101). Art. 12 VRP (sGS 951.1). Frage der Rechtmässigkeit der Ausscheidung einer Grundwasserschutzzone und eines Grundwasserschutzareals sowie des entsprechenden Schutzzonenreglements. Das Verwaltungsgericht erachtete es als dargetan, dass das Grundwasser der in Frage stehenden Gebiete zumindest nach entsprechender Aufbereitung über eine genügende Trinkwasserqualität verfügt und bejahte ein öffentliches Interesse an der Nutzung des Trinkwassers bzw. an der Sicherstellung einer künftigen Nutzung. Im Weiteren bestätigte es die Dimensionierung der Zonen als rechtmässig (Verwaltungsgericht, B 2017/185). Die gegen dieses Urteil erhobene Beschwerde ans Bundesgericht wurde mit Urteil vom 10. September 2020 abgewiesen (Verfahren 1C_47/2019).</w:t>
      </w:r>
    </w:p>
    <w:p>
      <w:pPr>
        <w:pStyle w:val="Heading2"/>
      </w:pPr>
      <w:r>
        <w:t>Volltext</w:t>
      </w:r>
    </w:p>
    <w:p>
      <w:r>
        <w:t>St.Gallen Verwaltungsgericht 13.12.2018 B 2017/185 Saint-Gall Verwaltungsgericht 13.12.2018 B 2017/185 San Gallo Verwaltungsgericht 13.12.2018 B 2017/185</w:t>
      </w:r>
    </w:p>
    <w:p>
      <w:r>
        <w:t>Art. 20 f. GSchG (SR 814.20). Art. 31 GSchV (SR 814.201). Art. 36 Abs. 2 und 3 BV (SR 101). Art. 12 VRP (sGS 951.1).</w:t>
      </w:r>
    </w:p>
    <w:p>
      <w:r>
        <w:t>Frage der Rechtmässigkeit der Ausscheidung einer Grundwasserschutzzone und eines Grundwasserschutzareals sowie des entsprechenden Schutzzonenreglements.</w:t>
      </w:r>
    </w:p>
    <w:p>
      <w:r>
        <w:t>Das Verwaltungsgericht erachtete es als dargetan, dass das Grundwasser der in Frage stehenden Gebiete zumindest nach entsprechender Aufbereitung über eine genügende Trinkwasserqualität verfügt und bejahte ein öffentliches Interesse an der Nutzung des Trinkwassers bzw. an der Sicherstellung einer künftigen Nutzung. Im Weiteren bestätigte es die Dimensionierung der Zonen als rechtmässig (Verwaltungsgericht, B 2017/185).</w:t>
      </w:r>
    </w:p>
    <w:p>
      <w:r>
        <w:t>Die gegen dieses Urteil erhobene Beschwerde ans Bundesgericht wurde mit Urteil vom 10. September 2020 abgewiesen (Verfahren 1C_47/2019).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