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2017/148, B 2017/149 vom 24. Januar 2020</w:t>
      </w:r>
    </w:p>
    <w:p>
      <w:r>
        <w:t>SG Gerichte, 2020-01-24, DE</w:t>
      </w:r>
    </w:p>
    <w:p>
      <w:r>
        <w:rPr>
          <w:b/>
        </w:rPr>
        <w:t xml:space="preserve">Quelle: </w:t>
      </w:r>
      <w:r>
        <w:t>https://mcp.opencaselaw.ch/entscheid/sg_gerichte_B_2017_148__B_2017_149</w:t>
      </w:r>
    </w:p>
    <w:p>
      <w:r>
        <w:t>FR: SG_GERICHTE B 2017/148, B 2017/149 du 24 janvier 2020</w:t>
      </w:r>
    </w:p>
    <w:p>
      <w:r>
        <w:t>IT: SG_GERICHTE B 2017/148, B 2017/149 del 24 gennaio 2020</w:t>
      </w:r>
    </w:p>
    <w:p>
      <w:pPr>
        <w:pStyle w:val="Heading2"/>
      </w:pPr>
      <w:r>
        <w:t>Regeste</w:t>
      </w:r>
    </w:p>
    <w:p>
      <w:r>
        <w:t>Steuerrecht, Art. 82 Abs. 1 lit. b Ziff. 5 und 6 StG, Art. 58 Abs. 1 lit. b DBG.Die Beschwerdeführerin bestreitet nicht, dass ihr beziehungsweise ihrem Delegierten des Verwaltungsrates die fragliche Wohnung ohne Belastung eines Mietzinses zur Verfügung stand. Die Dauer der tatsächlichen Anwesenheit und der Zweck des Aufenthalts sind für die Aufrechnung eines Ertrags aus einem Mietverhältnis nicht von Belang. Zur angeblichen Gegenleistung der Beschwerdeführerin in Form von Aufsichtsarbeiten gibt es keinerlei Beweise. Insbesondere wurde dieser Vorgang auch nicht in ihrer Erfolgsrechnung ausgewiesen. Dass im Ergebnis einzelne Aufwände und Erträge verrechnet werden, ändert nichts daran, dass sie vollständig auszuweisen sind. Die Gegenleistung für einen im Zusammenhang mit einer Wohnungsrenovation verbuchten Aufwand ist nicht nachgewiesen. Die Arbeiten waren vom Zweck der Zahlungsempfängerin, die im Übrigen in ihrer Buchhaltung keine entsprechenden Personalaufwendungen oder Fremdarbeiten ausgewiesen hat, nicht gedeckt. Die Beschwerdeführerin hat zudem auch keine entsprechende Zahlung nachgewiesen (Verwaltungsgericht, B 2017/148 und B 2017/149). Die gegen dieses Urteil erhobene Beschwerde ans Bundesgericht wurde mit Urteil vom 24. Januar 2020 abgewiesen (Verfahren 2C_717/2018).</w:t>
      </w:r>
    </w:p>
    <w:p>
      <w:pPr>
        <w:pStyle w:val="Heading2"/>
      </w:pPr>
      <w:r>
        <w:t>Volltext</w:t>
      </w:r>
    </w:p>
    <w:p>
      <w:r>
        <w:t>St.Gallen Verwaltungsgericht 13.07.2018 B 2017/148, B 2017/149 Saint-Gall Verwaltungsgericht 13.07.2018 B 2017/148, B 2017/149 San Gallo Verwaltungsgericht 13.07.2018 B 2017/148, B 2017/149</w:t>
      </w:r>
    </w:p>
    <w:p>
      <w:r>
        <w:t>Steuerrecht, Art. 82 Abs. 1 lit. b Ziff. 5 und 6 StG, Art. 58 Abs. 1 lit. b DBG.Die Beschwerdeführerin bestreitet nicht, dass ihr beziehungsweise ihrem Delegierten des Verwaltungsrates die fragliche Wohnung ohne Belastung eines Mietzinses zur Verfügung stand. Die Dauer der tatsächlichen Anwesenheit und der Zweck des Aufenthalts sind für die Aufrechnung eines Ertrags aus einem Mietverhältnis nicht von Belang. Zur angeblichen Gegenleistung der Beschwerdeführerin in Form von Aufsichtsarbeiten gibt es keinerlei Beweise. Insbesondere wurde dieser Vorgang auch nicht in ihrer Erfolgsrechnung ausgewiesen. Dass im Ergebnis einzelne Aufwände und Erträge verrechnet werden, ändert nichts daran, dass sie vollständig auszuweisen sind. Die Gegenleistung für einen im Zusammenhang mit einer Wohnungsrenovation verbuchten Aufwand ist nicht nachgewiesen. Die Arbeiten waren vom Zweck der Zahlungsempfängerin, die im Übrigen in ihrer Buchhaltung keine entsprechenden Personalaufwendungen oder Fremdarbeiten ausgewiesen hat, nicht gedeckt. Die Beschwerdeführerin hat zudem auch keine entsprechende Zahlung nachgewiesen (Verwaltungsgericht, B 2017/148 und B 2017/149). Die gegen dieses Urteil erhobene Beschwerde ans Bundesgericht wurde mit Urteil vom 24. Januar 2020 abgewiesen (Verfahren 2C_717/2018).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