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2017/104 vom 28. Juni 2018</w:t>
      </w:r>
    </w:p>
    <w:p>
      <w:r>
        <w:t>SG Gerichte, 2018-06-28, DE</w:t>
      </w:r>
    </w:p>
    <w:p>
      <w:r>
        <w:rPr>
          <w:b/>
        </w:rPr>
        <w:t xml:space="preserve">Quelle: </w:t>
      </w:r>
      <w:r>
        <w:t>https://mcp.opencaselaw.ch/entscheid/sg_gerichte_B_2017_104</w:t>
      </w:r>
    </w:p>
    <w:p>
      <w:r>
        <w:t>FR: SG_GERICHTE B 2017/104 du 28 juin 2018</w:t>
      </w:r>
    </w:p>
    <w:p>
      <w:r>
        <w:t>IT: SG_GERICHTE B 2017/104 del 28 giugno 2018</w:t>
      </w:r>
    </w:p>
    <w:p>
      <w:pPr>
        <w:pStyle w:val="Heading2"/>
      </w:pPr>
      <w:r>
        <w:t>Regeste</w:t>
      </w:r>
    </w:p>
    <w:p>
      <w:r>
        <w:t>Ausländerrecht, Art. 5 Anhang I FZA, Art. 63 Abs. 1 lit. b AuG.Die 1998 geschlossene kinderlos gebliebene Ehe des aus Bosnien und Herzegowina stammende seit 2003 niederlassungsberechtigten Beschwerdeführers mit einer Schweizerin wurde 2004 geschieden. 2005 heiratete er seine frühere aus Kroatien stammende Lebenspartnerin. Nachdem er straffällig geworden war, wurde er 1995 und 2010 ausländerrechtlich verwarnt. Da er in der Folge erneut mehrfach strafrechtlich verurteilt wurde, wurde seine Niederlassungsbewilligung 2015 widerrufen. Sowohl während des Rekurs- als auch während des Beschwerdeverfahrens ergingen weitere Strafurteile gegen den Beschwerdeführer. Das Verwaltungsgericht weist die Beschwerde ab. Der Hang zur Straffälligkeit ist dem Beschwerdeführer inhärent. Er ist zudem hoch verschuldet und weist trotz seiner weitreichenden Mitwirkungspflicht nicht nach, dass er seine Schulden tatsächlich abbezahlt. Da er Kindheit, Jugend und einen Teil seines Erwachsenenalters in seiner Heimat, in die er auch später regelmässig reiste, verbracht hat, sind ihm die dortige Sprache und Kultur bestens vertraut. Zudem hat er Verwandte – insbesondere einen Sohn – dort (Verwaltungsgericht, B 2017/104).</w:t>
      </w:r>
    </w:p>
    <w:p>
      <w:pPr>
        <w:pStyle w:val="Heading2"/>
      </w:pPr>
      <w:r>
        <w:t>Volltext</w:t>
      </w:r>
    </w:p>
    <w:p>
      <w:r>
        <w:t>St.Gallen Verwaltungsgericht 28.06.2018 B 2017/104 Saint-Gall Verwaltungsgericht 28.06.2018 B 2017/104 San Gallo Verwaltungsgericht 28.06.2018 B 2017/104</w:t>
      </w:r>
    </w:p>
    <w:p>
      <w:r>
        <w:t>Ausländerrecht, Art. 5 Anhang I FZA, Art. 63 Abs. 1 lit. b AuG.Die 1998 geschlossene kinderlos gebliebene Ehe des aus Bosnien und Herzegowina stammende seit 2003 niederlassungsberechtigten Beschwerdeführers mit einer Schweizerin wurde 2004 geschieden. 2005 heiratete er seine frühere aus Kroatien stammende Lebenspartnerin. Nachdem er straffällig geworden war, wurde er 1995 und 2010 ausländerrechtlich verwarnt. Da er in der Folge erneut mehrfach strafrechtlich verurteilt wurde, wurde seine Niederlassungsbewilligung 2015 widerrufen. Sowohl während des Rekurs- als auch während des Beschwerdeverfahrens ergingen weitere Strafurteile gegen den Beschwerdeführer. Das Verwaltungsgericht weist die Beschwerde ab. Der Hang zur Straffälligkeit ist dem Beschwerdeführer inhärent. Er ist zudem hoch verschuldet und weist trotz seiner weitreichenden Mitwirkungspflicht nicht nach, dass er seine Schulden tatsächlich abbezahlt. Da er Kindheit, Jugend und einen Teil seines Erwachsenenalters in seiner Heimat, in die er auch später regelmässig reiste, verbracht hat, sind ihm die dortige Sprache und Kultur bestens vertraut. Zudem hat er Verwandte – insbesondere einen Sohn – dort (Verwaltungsgericht, B 2017/104).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