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2016/21, B 2016/22 vom 31. Oktober 2019</w:t>
      </w:r>
    </w:p>
    <w:p>
      <w:r>
        <w:t>SG Gerichte, 2019-10-31, DE</w:t>
      </w:r>
    </w:p>
    <w:p>
      <w:r>
        <w:rPr>
          <w:b/>
        </w:rPr>
        <w:t xml:space="preserve">Quelle: </w:t>
      </w:r>
      <w:r>
        <w:t>https://mcp.opencaselaw.ch/entscheid/sg_gerichte_B_2016_21__B_2016_22</w:t>
      </w:r>
    </w:p>
    <w:p>
      <w:r>
        <w:t>FR: SG_GERICHTE B 2016/21, B 2016/22 du 31 octobre 2019</w:t>
      </w:r>
    </w:p>
    <w:p>
      <w:r>
        <w:t>IT: SG_GERICHTE B 2016/21, B 2016/22 del 31 ottobre 2019</w:t>
      </w:r>
    </w:p>
    <w:p>
      <w:pPr>
        <w:pStyle w:val="Heading2"/>
      </w:pPr>
      <w:r>
        <w:t>Regeste</w:t>
      </w:r>
    </w:p>
    <w:p>
      <w:r>
        <w:t>Baurecht, Wiederherstellung des rechtmässigen Zustands, Art. 5 Abs. 2 BV, Art. 130 Abs. 2 BauG. Verhältnismässigkeit der Wiederherstellung des rechtmässigen Zustands in Bezug auf die vorliegend zu beurteilende Stützmauer (Höhenabweichungen von 0.94 m bis 1.70 m bei einer bewilligten Höhe von höchstens 2.20 m, fehlende Rückversetzung des obersten Satzes Steine mit einer Höhe von 0.70 m bis 0.80 m direkt an der Grundstücksgrenze, Grenzverletzung von einzelnen Steinen um bis zu 0.40 m) bejaht (E. 9), (Verwaltungsgericht, B 2016/21 und B 2016/22). Die gegen dieses Urteil erhobenen Beschwerden ans Bundesgericht wurden mit Urteil vom 31. Oktober 2019 abgewiesen (Verfahren 1C_572/2018, 1C_574/2018).</w:t>
      </w:r>
    </w:p>
    <w:p>
      <w:pPr>
        <w:pStyle w:val="Heading2"/>
      </w:pPr>
      <w:r>
        <w:t>Volltext</w:t>
      </w:r>
    </w:p>
    <w:p>
      <w:r>
        <w:t>St.Gallen Verwaltungsgericht 26.09.2018 B 2016/21, B 2016/22 Saint-Gall Verwaltungsgericht 26.09.2018 B 2016/21, B 2016/22 San Gallo Verwaltungsgericht 26.09.2018 B 2016/21, B 2016/22</w:t>
      </w:r>
    </w:p>
    <w:p>
      <w:r>
        <w:t>Baurecht, Wiederherstellung des rechtmässigen Zustands, Art. 5 Abs. 2 BV, Art. 130 Abs. 2 BauG.</w:t>
      </w:r>
    </w:p>
    <w:p>
      <w:r>
        <w:t>Verhältnismässigkeit der Wiederherstellung des rechtmässigen Zustands in Bezug auf die vorliegend zu beurteilende Stützmauer (Höhenabweichungen von 0.94 m bis 1.70 m bei einer bewilligten Höhe von höchstens 2.20 m, fehlende Rückversetzung des obersten Satzes Steine mit einer Höhe von 0.70 m bis 0.80 m direkt an der Grundstücksgrenze, Grenzverletzung von einzelnen Steinen um bis zu 0.40 m) bejaht (E. 9), (Verwaltungsgericht, B 2016/21 und B 2016/22).</w:t>
      </w:r>
    </w:p>
    <w:p>
      <w:r>
        <w:t>Die gegen dieses Urteil erhobenen Beschwerden ans Bundesgericht wurden mit Urteil vom 31. Oktober 2019 abgewiesen (Verfahren 1C_572/2018, 1C_574/2018).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