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2016/215 vom 9. November 2018</w:t>
      </w:r>
    </w:p>
    <w:p>
      <w:r>
        <w:t>SG Gerichte, 2018-11-09, DE</w:t>
      </w:r>
    </w:p>
    <w:p>
      <w:r>
        <w:rPr>
          <w:b/>
        </w:rPr>
        <w:t xml:space="preserve">Quelle: </w:t>
      </w:r>
      <w:r>
        <w:t>https://mcp.opencaselaw.ch/entscheid/sg_gerichte_B_2016_215</w:t>
      </w:r>
    </w:p>
    <w:p>
      <w:r>
        <w:t>FR: SG_GERICHTE B 2016/215 du 9 novembre 2018</w:t>
      </w:r>
    </w:p>
    <w:p>
      <w:r>
        <w:t>IT: SG_GERICHTE B 2016/215 del 9 novembre 2018</w:t>
      </w:r>
    </w:p>
    <w:p>
      <w:pPr>
        <w:pStyle w:val="Heading2"/>
      </w:pPr>
      <w:r>
        <w:t>Regeste</w:t>
      </w:r>
    </w:p>
    <w:p>
      <w:r>
        <w:t>Baurecht, Baubewilligung Unterflurbehälter, Art. 1 Abs. 2 und Art. 11 Abs. 2 USG, Art. 40 Abs. 3 LSV in Verbindung mit Art. 15 USG, Art. 14 USG und Art. 2 Abs. 5 LRV, Art. 19 Abs. 1 RPG, Art. 52 BauG.Der Betrieb der streitbetroffenen Sammelstelle zur Entsorgung von Siedlungsabfällen (zwei Unterflurbehälter) in einem Einfamilienhausquartier (Wohnzone WE) verursacht keine störenden Lärm- und Geruchsimmissionen. Zusätzliche Massnahmen im Sinne der Vorsorge sind nicht angezeigt (E. 7 f.). Die Verkehrs- und Betriebssicherheit ist gewahrt (E. 9 f.), (Verwaltungsgericht, B 2016/215).Die gegen dieses Urteil erhobene Beschwerde ans Bundesgericht wurde mit Urteil vom 9. November 2018 abgewiesen (Verfahren 1C_219/2018).</w:t>
      </w:r>
    </w:p>
    <w:p>
      <w:pPr>
        <w:pStyle w:val="Heading2"/>
      </w:pPr>
      <w:r>
        <w:t>Volltext</w:t>
      </w:r>
    </w:p>
    <w:p>
      <w:r>
        <w:t>St.Gallen Verwaltungsgericht 22.02.2018 B 2016/215 Saint-Gall Verwaltungsgericht 22.02.2018 B 2016/215 San Gallo Verwaltungsgericht 22.02.2018 B 2016/215</w:t>
      </w:r>
    </w:p>
    <w:p>
      <w:r>
        <w:t>Baurecht, Baubewilligung Unterflurbehälter, Art. 1 Abs. 2 und Art. 11 Abs. 2 USG, Art. 40 Abs. 3 LSV in Verbindung mit Art. 15 USG, Art. 14 USG und Art. 2 Abs. 5 LRV, Art. 19 Abs. 1 RPG, Art. 52 BauG.Der Betrieb der streitbetroffenen Sammelstelle zur Entsorgung von Siedlungsabfällen (zwei Unterflurbehälter) in einem Einfamilienhausquartier (Wohnzone WE) verursacht keine störenden Lärm- und Geruchsimmissionen. Zusätzliche Massnahmen im Sinne der Vorsorge sind nicht angezeigt (E. 7 f.). Die Verkehrs- und Betriebssicherheit ist gewahrt (E. 9 f.), (Verwaltungsgericht, B 2016/215).Die gegen dieses Urteil erhobene Beschwerde ans Bundesgericht wurde mit Urteil vom 9. November 2018 abgewiesen (Verfahren 1C_219/2018).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