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2016/204 vom 14. Dezember 2017</w:t>
      </w:r>
    </w:p>
    <w:p>
      <w:r>
        <w:t>SG Gerichte, 2017-12-14, DE</w:t>
      </w:r>
    </w:p>
    <w:p>
      <w:r>
        <w:rPr>
          <w:b/>
        </w:rPr>
        <w:t xml:space="preserve">Quelle: </w:t>
      </w:r>
      <w:r>
        <w:t>https://mcp.opencaselaw.ch/entscheid/sg_gerichte_B_2016_204</w:t>
      </w:r>
    </w:p>
    <w:p>
      <w:r>
        <w:t>FR: SG_GERICHTE B 2016/204 du 14 décembre 2017</w:t>
      </w:r>
    </w:p>
    <w:p>
      <w:r>
        <w:t>IT: SG_GERICHTE B 2016/204 del 14 dicembre 2017</w:t>
      </w:r>
    </w:p>
    <w:p>
      <w:pPr>
        <w:pStyle w:val="Heading2"/>
      </w:pPr>
      <w:r>
        <w:t>Regeste</w:t>
      </w:r>
    </w:p>
    <w:p>
      <w:r>
        <w:t>Art. 224 StG (sGS 811.1). Erlass der Kantons- und Gemeindesteuern.Das Verwaltungsgericht kam zum Schluss, dass im massgebenden Zeitpunkt der Prüfung des Erlassgesuchs von einer Notlage der Beschwerdegegner im Sinn von Art. 224 Abs. 1 StG auszugehen gewesen sei. Da die Beschwerdegegner im Zeitpunkt ihres Erlassgesuches höchstens Einnahmen in der Höhe des betreibungsrechtlichen Existenzminimum gehabt hätten, hätten sie auch keine Schulden an die Gläubiger aus dem vor über 10 Jahren erfolgten Konkurs des Ehemannes bezahlen können. Daher habe ein Steuererlass auch keine Bevorzugung anderer Gläubiger zur Folge. Auch eine grosse Härte sei zu bejahen. Bestätigung des vorinstanzlichen Entscheids (Verwaltungsgericht, B 2016/204).</w:t>
      </w:r>
    </w:p>
    <w:p>
      <w:pPr>
        <w:pStyle w:val="Heading2"/>
      </w:pPr>
      <w:r>
        <w:t>Volltext</w:t>
      </w:r>
    </w:p>
    <w:p>
      <w:r>
        <w:t>St.Gallen Verwaltungsgericht 14.12.2017 B 2016/204 Saint-Gall Verwaltungsgericht 14.12.2017 B 2016/204 San Gallo Verwaltungsgericht 14.12.2017 B 2016/204</w:t>
      </w:r>
    </w:p>
    <w:p>
      <w:r>
        <w:t>Art. 224 StG (sGS 811.1). Erlass der Kantons- und Gemeindesteuern.Das Verwaltungsgericht kam zum Schluss, dass im massgebenden Zeitpunkt der Prüfung des Erlassgesuchs von einer Notlage der Beschwerdegegner im Sinn von Art. 224 Abs. 1 StG auszugehen gewesen sei. Da die Beschwerdegegner im Zeitpunkt ihres Erlassgesuches höchstens Einnahmen in der Höhe des betreibungsrechtlichen Existenzminimum gehabt hätten, hätten sie auch keine Schulden an die Gläubiger aus dem vor über 10 Jahren erfolgten Konkurs des Ehemannes bezahlen können. Daher habe ein Steuererlass auch keine Bevorzugung anderer Gläubiger zur Folge. Auch eine grosse Härte sei zu bejahen. Bestätigung des vorinstanzlichen Entscheids (Verwaltungsgericht, B 2016/204).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