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2016/200 vom 20. Januar 2017</w:t>
      </w:r>
    </w:p>
    <w:p>
      <w:r>
        <w:t>SG Gerichte, 2017-01-20, DE</w:t>
      </w:r>
    </w:p>
    <w:p>
      <w:r>
        <w:rPr>
          <w:b/>
        </w:rPr>
        <w:t xml:space="preserve">Quelle: </w:t>
      </w:r>
      <w:r>
        <w:t>https://mcp.opencaselaw.ch/entscheid/sg_gerichte_B_2016_200</w:t>
      </w:r>
    </w:p>
    <w:p>
      <w:r>
        <w:t>FR: SG_GERICHTE B 2016/200 du 20 janvier 2017</w:t>
      </w:r>
    </w:p>
    <w:p>
      <w:r>
        <w:t>IT: SG_GERICHTE B 2016/200 del 20 gennaio 2017</w:t>
      </w:r>
    </w:p>
    <w:p>
      <w:pPr>
        <w:pStyle w:val="Heading2"/>
      </w:pPr>
      <w:r>
        <w:t>Regeste</w:t>
      </w:r>
    </w:p>
    <w:p>
      <w:r>
        <w:t>Verfahren, Art. 39bis VRP, Art. 3 lit. f ErmV.Da Art. 39bis VRP nur in Verfahren der verwaltungsexternen Verwaltungsrechtspflege Anwendung findet, ist der Präsident der Rekursstelle Volksstelle befugt, Rekursverfahren mangels rechtzeitiger Leistung des Kostenvorschusses abzuschreiben, ohne dass er den Beteiligten Gelegenheit geben muss, durch einfache Erklärung einen Kollegialentscheid zu verlangen (Verwaltungsgericht, B 2016/200).</w:t>
      </w:r>
    </w:p>
    <w:p>
      <w:pPr>
        <w:pStyle w:val="Heading2"/>
      </w:pPr>
      <w:r>
        <w:t>Volltext</w:t>
      </w:r>
    </w:p>
    <w:p>
      <w:r>
        <w:t>St.Gallen Verwaltungsgericht 20.01.2017 B 2016/200 Saint-Gall Verwaltungsgericht 20.01.2017 B 2016/200 San Gallo Verwaltungsgericht 20.01.2017 B 2016/200</w:t>
      </w:r>
    </w:p>
    <w:p>
      <w:r>
        <w:t>Verfahren, Art. 39bis VRP, Art. 3 lit. f ErmV.Da Art. 39bis VRP nur in Verfahren der verwaltungsexternen Verwaltungsrechtspflege Anwendung findet, ist der Präsident der Rekursstelle Volksstelle befugt, Rekursverfahren mangels rechtzeitiger Leistung des Kostenvorschusses abzuschreiben, ohne dass er den Beteiligten Gelegenheit geben muss, durch einfache Erklärung einen Kollegialentscheid zu verlangen (Verwaltungsgericht, B 2016/200).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