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2016/158 vom 29. November 2017</w:t>
      </w:r>
    </w:p>
    <w:p>
      <w:r>
        <w:t>SG Gerichte, 2017-11-29, DE</w:t>
      </w:r>
    </w:p>
    <w:p>
      <w:r>
        <w:rPr>
          <w:b/>
        </w:rPr>
        <w:t xml:space="preserve">Quelle: </w:t>
      </w:r>
      <w:r>
        <w:t>https://mcp.opencaselaw.ch/entscheid/sg_gerichte_B_2016_158</w:t>
      </w:r>
    </w:p>
    <w:p>
      <w:r>
        <w:t>FR: SG_GERICHTE B 2016/158 du 29 novembre 2017</w:t>
      </w:r>
    </w:p>
    <w:p>
      <w:r>
        <w:t>IT: SG_GERICHTE B 2016/158 del 29 novembre 2017</w:t>
      </w:r>
    </w:p>
    <w:p>
      <w:pPr>
        <w:pStyle w:val="Heading2"/>
      </w:pPr>
      <w:r>
        <w:t>Regeste</w:t>
      </w:r>
    </w:p>
    <w:p>
      <w:r>
        <w:t>Ausländerrecht, Art. 50 Abs. 1 lit. a AuG.Der Beschwerdeführer und seine Schweizer Ehefrau trennten sich vor Ablauf von drei Jahren seit der Eheschliessung. Wichtige persönliche Gründe für einen Härtefall sind nicht ersichtlich (Verwaltungsgericht, B 2016/158).Auf eine gegen dieses Urteil erhobene Beschwerde trat das Bundesgericht mit Urteil vom 29. November 2017 nicht ein (Verfahren 2C_1008/2017).</w:t>
      </w:r>
    </w:p>
    <w:p>
      <w:pPr>
        <w:pStyle w:val="Heading2"/>
      </w:pPr>
      <w:r>
        <w:t>Volltext</w:t>
      </w:r>
    </w:p>
    <w:p>
      <w:r>
        <w:t>St.Gallen Verwaltungsgericht 24.08.2017 B 2016/158 Saint-Gall Verwaltungsgericht 24.08.2017 B 2016/158 San Gallo Verwaltungsgericht 24.08.2017 B 2016/158</w:t>
      </w:r>
    </w:p>
    <w:p>
      <w:r>
        <w:t>Ausländerrecht, Art. 50 Abs. 1 lit. a AuG.Der Beschwerdeführer und seine Schweizer Ehefrau trennten sich vor Ablauf von drei Jahren seit der Eheschliessung. Wichtige persönliche Gründe für einen Härtefall sind nicht ersichtlich (Verwaltungsgericht, B 2016/158).Auf eine gegen dieses Urteil erhobene Beschwerde trat das Bundesgericht mit Urteil vom 29. November 2017 nicht ein (Verfahren 2C_1008/2017).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