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2015/6 vom 7. März 2017</w:t>
      </w:r>
    </w:p>
    <w:p>
      <w:r>
        <w:t>SG Gerichte, 2017-03-07, DE</w:t>
      </w:r>
    </w:p>
    <w:p>
      <w:r>
        <w:rPr>
          <w:b/>
        </w:rPr>
        <w:t xml:space="preserve">Quelle: </w:t>
      </w:r>
      <w:r>
        <w:t>https://mcp.opencaselaw.ch/entscheid/sg_gerichte_B_2015_6</w:t>
      </w:r>
    </w:p>
    <w:p>
      <w:r>
        <w:t>FR: SG_GERICHTE B 2015/6 du 7 mars 2017</w:t>
      </w:r>
    </w:p>
    <w:p>
      <w:r>
        <w:t>IT: SG_GERICHTE B 2015/6 del 7 marzo 2017</w:t>
      </w:r>
    </w:p>
    <w:p>
      <w:pPr>
        <w:pStyle w:val="Heading2"/>
      </w:pPr>
      <w:r>
        <w:t>Regeste</w:t>
      </w:r>
    </w:p>
    <w:p>
      <w:r>
        <w:t>Anwaltsrecht, Art. 12 lit. a und Art. 17 Abs. 1 lit. d, Art. 18 Abs. 2 BGFA, Art. 1 Abs. 2 und 3, Art. 39 AnwG. Angesichts der Tatschwere, der mehrfachen Deliktsbegehung und der Uneinsichtigkeit des Beschwerdeführers kann seine Pflichtverletzung nicht mehr nur mit Busse geahndet werden. Die Verhängung eines befristeten Berufsausübungsverbots für die Dauer von einem Jahr erscheint gesamthaft betrachtet am obersten Rand dessen, was bei einer erstmaligen Berufspflichtverletzung noch zulässig ist, aber noch innerhalb des der Vorinstanz zustehenden Ermessens (E. 5.3). Es bestehen begründete Zweifel, dass sich der Beschwerdeführer der angeordneten Sanktion unterziehen wird, da er nach wie vor dazu neigt, sein Fehlverhalten zu beschönigen, und sich nicht einsichtig zeigt. Eine Publikation erscheint daher als erforderlich (E. 5.4), (Verwaltungsgericht, B 2015/6). Die gegen dieses Urteil erhobene Beschwerde ans Bundesgericht wurde mit Urteil vom 7. März 2017 abgewiesen (Verfahren 2C_980/2016). Entscheid vom 23. August 2016</w:t>
      </w:r>
    </w:p>
    <w:p>
      <w:pPr>
        <w:pStyle w:val="Heading2"/>
      </w:pPr>
      <w:r>
        <w:t>Volltext</w:t>
      </w:r>
    </w:p>
    <w:p>
      <w:r>
        <w:t>St.Gallen Verwaltungsgericht 23.08.2016 B 2015/6 Saint-Gall Verwaltungsgericht 23.08.2016 B 2015/6 San Gallo Verwaltungsgericht 23.08.2016 B 2015/6</w:t>
      </w:r>
    </w:p>
    <w:p>
      <w:r>
        <w:t>Anwaltsrecht, Art. 12 lit. a und Art. 17 Abs. 1 lit. d, Art. 18 Abs. 2 BGFA, Art. 1 Abs. 2 und 3, Art. 39 AnwG. Angesichts der Tatschwere, der mehrfachen Deliktsbegehung und der Uneinsichtigkeit des Beschwerdeführers kann seine Pflichtverletzung nicht mehr nur mit Busse geahndet werden. Die Verhängung eines befristeten Berufsausübungsverbots für die Dauer von einem Jahr erscheint gesamthaft betrachtet am obersten Rand dessen, was bei einer erstmaligen Berufspflichtverletzung noch zulässig ist, aber noch innerhalb des der Vorinstanz zustehenden Ermessens (E. 5.3). Es bestehen begründete Zweifel, dass sich der Beschwerdeführer der angeordneten Sanktion unterziehen wird, da er nach wie vor dazu neigt, sein Fehlverhalten zu beschönigen, und sich nicht einsichtig zeigt. Eine Publikation erscheint daher als erforderlich (E. 5.4), (Verwaltungsgericht, B 2015/6). Die gegen dieses Urteil erhobene Beschwerde ans Bundesgericht wurde mit Urteil vom 7. März 2017 abgewiesen (Verfahren 2C_980/2016). Entscheid vom 23. August 2016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