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2015/323 vom 29. Juni 2017</w:t>
      </w:r>
    </w:p>
    <w:p>
      <w:r>
        <w:t>SG Gerichte, 2017-06-29, DE</w:t>
      </w:r>
    </w:p>
    <w:p>
      <w:r>
        <w:rPr>
          <w:b/>
        </w:rPr>
        <w:t xml:space="preserve">Quelle: </w:t>
      </w:r>
      <w:r>
        <w:t>https://mcp.opencaselaw.ch/entscheid/sg_gerichte_B_2015_323</w:t>
      </w:r>
    </w:p>
    <w:p>
      <w:r>
        <w:t>FR: SG_GERICHTE B 2015/323 du 29 juin 2017</w:t>
      </w:r>
    </w:p>
    <w:p>
      <w:r>
        <w:t>IT: SG_GERICHTE B 2015/323 del 29 giugno 2017</w:t>
      </w:r>
    </w:p>
    <w:p>
      <w:pPr>
        <w:pStyle w:val="Heading2"/>
      </w:pPr>
      <w:r>
        <w:t>Regeste</w:t>
      </w:r>
    </w:p>
    <w:p>
      <w:r>
        <w:t>Steuerrecht, privilegierte Besteuerung von Beteiligungserträgen des Privatvermögens: Qualifikation einer asymmetrischen Dividende (Art. 7 Abs. 1 StHG, SR 642.14; Art. 50 Abs. 5 in Verbindung mit Art. 33 Abs. 1 lit. c StG).Eine Aktiengesellschaft richtete den drei Aktionären unabhängig von deren Kapitalquote eine Dividende von je Fr. 2 Mio aus. Der im Kanton St. Gallen steuerpflichtige Beschwerdeführer hält lediglich 20% des Aktienkapitals. Das ändert nichts daran, dass auch der gemessen an der Beteiligungsquote überproportionale Anteil der Dividende (konkret Fr. 800‘000) als Beteiligungsertrag gilt und privilegiert zu besteuern ist (Verwaltungsgericht, B 2015/323).</w:t>
      </w:r>
    </w:p>
    <w:p>
      <w:pPr>
        <w:pStyle w:val="Heading2"/>
      </w:pPr>
      <w:r>
        <w:t>Volltext</w:t>
      </w:r>
    </w:p>
    <w:p>
      <w:r>
        <w:t>St.Gallen Verwaltungsgericht 29.06.2017 B 2015/323 Saint-Gall Verwaltungsgericht 29.06.2017 B 2015/323 San Gallo Verwaltungsgericht 29.06.2017 B 2015/323</w:t>
      </w:r>
    </w:p>
    <w:p>
      <w:r>
        <w:t>Steuerrecht, privilegierte Besteuerung von Beteiligungserträgen des Privatvermögens: Qualifikation einer asymmetrischen Dividende (Art. 7 Abs. 1 StHG, SR 642.14; Art. 50 Abs. 5 in Verbindung mit Art. 33 Abs. 1 lit. c StG).Eine Aktiengesellschaft richtete den drei Aktionären unabhängig von deren Kapitalquote eine Dividende von je Fr. 2 Mio aus. Der im Kanton St. Gallen steuerpflichtige Beschwerdeführer hält lediglich 20% des Aktienkapitals. Das ändert nichts daran, dass auch der gemessen an der Beteiligungsquote überproportionale Anteil der Dividende (konkret Fr. 800‘000) als Beteiligungsertrag gilt und privilegiert zu besteuern ist (Verwaltungsgericht, B 2015/323).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