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2014/33 vom 24. März 2016</w:t>
      </w:r>
    </w:p>
    <w:p>
      <w:r>
        <w:t>SG Gerichte, 2016-03-24, DE</w:t>
      </w:r>
    </w:p>
    <w:p>
      <w:r>
        <w:rPr>
          <w:b/>
        </w:rPr>
        <w:t xml:space="preserve">Quelle: </w:t>
      </w:r>
      <w:r>
        <w:t>https://mcp.opencaselaw.ch/entscheid/sg_gerichte_B_2014_33</w:t>
      </w:r>
    </w:p>
    <w:p>
      <w:r>
        <w:t>FR: SG_GERICHTE B 2014/33 du 24 mars 2016</w:t>
      </w:r>
    </w:p>
    <w:p>
      <w:r>
        <w:t>IT: SG_GERICHTE B 2014/33 del 24 marzo 2016</w:t>
      </w:r>
    </w:p>
    <w:p>
      <w:pPr>
        <w:pStyle w:val="Heading2"/>
      </w:pPr>
      <w:r>
        <w:t>Regeste</w:t>
      </w:r>
    </w:p>
    <w:p>
      <w:r>
        <w:t>Steuerrecht, Art. 82 Abs. 1 lit. b Ziff. 5 StG, Art. 178bis Abs. 2 StG. Der Verkauf von Wohnungen zu 14% bzw. 17.8% unter dem amtlichen Verkehrswert stellt eine verdeckte Gewinnausschüttung dar, wenn der Verkäufer immobilienkundig ist, kein Notverkauf vorliegt und zwischen Verkäufer und Käufer eine über das normale Mass hinausgehende Nähe ersichtlich ist. Die Behörden haben keine Tatsachen zu ergänzen, welche nicht aktenkundig sind und die der Beschwerdegegner trotz ausreichender Möglichkeiten ungenügend belegt hat. Geschäftsmässige Aufwände müssen zweifelsfrei begründet werden. Unangefochtene und damit rechtskräftig gewordene amtliche Schätzungen sind für die laufende Steuerperiode verbindlich (Verwaltungsgericht, B 2014/33). Entscheid vom 24. März 2016</w:t>
      </w:r>
    </w:p>
    <w:p>
      <w:pPr>
        <w:pStyle w:val="Heading2"/>
      </w:pPr>
      <w:r>
        <w:t>Volltext</w:t>
      </w:r>
    </w:p>
    <w:p>
      <w:r>
        <w:t>St.Gallen Verwaltungsgericht 24.03.2016 B 2014/33 Saint-Gall Verwaltungsgericht 24.03.2016 B 2014/33 San Gallo Verwaltungsgericht 24.03.2016 B 2014/33</w:t>
      </w:r>
    </w:p>
    <w:p>
      <w:r>
        <w:t>Steuerrecht, Art. 82 Abs. 1 lit. b Ziff. 5 StG, Art. 178bis Abs. 2 StG. Der Verkauf von Wohnungen zu 14% bzw. 17.8% unter dem amtlichen Verkehrswert stellt eine verdeckte Gewinnausschüttung dar, wenn der Verkäufer immobilienkundig ist, kein Notverkauf vorliegt und zwischen Verkäufer und Käufer eine über das normale Mass hinausgehende Nähe ersichtlich ist. Die Behörden haben keine Tatsachen zu ergänzen, welche nicht aktenkundig sind und die der Beschwerdegegner trotz ausreichender Möglichkeiten ungenügend belegt hat. Geschäftsmässige Aufwände müssen zweifelsfrei begründet werden. Unangefochtene und damit rechtskräftig gewordene amtliche Schätzungen sind für die laufende Steuerperiode verbindlich (Verwaltungsgericht, B 2014/33). Entscheid vom 24. März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