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2012/94 vom 13. November 2012</w:t>
      </w:r>
    </w:p>
    <w:p>
      <w:r>
        <w:t>SG Gerichte, 2012-11-13, DE</w:t>
      </w:r>
    </w:p>
    <w:p>
      <w:r>
        <w:rPr>
          <w:b/>
        </w:rPr>
        <w:t xml:space="preserve">Quelle: </w:t>
      </w:r>
      <w:r>
        <w:t>https://mcp.opencaselaw.ch/entscheid/sg_gerichte_B_2012_94</w:t>
      </w:r>
    </w:p>
    <w:p>
      <w:r>
        <w:t>FR: SG_GERICHTE B 2012/94 du 13 novembre 2012</w:t>
      </w:r>
    </w:p>
    <w:p>
      <w:r>
        <w:t>IT: SG_GERICHTE B 2012/94 del 13 novembre 2012</w:t>
      </w:r>
    </w:p>
    <w:p>
      <w:pPr>
        <w:pStyle w:val="Heading2"/>
      </w:pPr>
      <w:r>
        <w:t>Regeste</w:t>
      </w:r>
    </w:p>
    <w:p>
      <w:r>
        <w:t>Ausländerrecht, Familiennachzug, Art. 44 lit. c AuG (SR 142.20).Es ist zulässig, für die Berechnung der notwendigen finanziellen Mittel von den Richtlinien der Vereinigung der Fremdenpolizeichefs der Ostschweiz und des Fürstentums Lichtenstein (VOF-Richtlinien) auszugehen. Die ausländische Person hat insbesondere mittels Arbeitsvertrag und Lohnabrechnungen den Nachweis zu erbringen, dass die Sozialhilfeabhängigkeit der Familie langfristig beseitigt werden kann (Verwaltungsgericht, B 2012/94).</w:t>
      </w:r>
    </w:p>
    <w:p>
      <w:pPr>
        <w:pStyle w:val="Heading2"/>
      </w:pPr>
      <w:r>
        <w:t>Volltext</w:t>
      </w:r>
    </w:p>
    <w:p>
      <w:r>
        <w:t>St.Gallen Verwaltungsgericht 13.11.2012 B 2012/94 Saint-Gall Verwaltungsgericht 13.11.2012 B 2012/94 San Gallo Verwaltungsgericht 13.11.2012 B 2012/94</w:t>
      </w:r>
    </w:p>
    <w:p>
      <w:r>
        <w:t>Ausländerrecht, Familiennachzug, Art. 44 lit. c AuG (SR 142.20).Es ist zulässig, für die Berechnung der notwendigen finanziellen Mittel von den Richtlinien der Vereinigung der Fremdenpolizeichefs der Ostschweiz und des Fürstentums Lichtenstein (VOF-Richtlinien) auszugehen. Die ausländische Person hat insbesondere mittels Arbeitsvertrag und Lohnabrechnungen den Nachweis zu erbringen, dass die Sozialhilfeabhängigkeit der Familie langfristig beseitigt werden kann (Verwaltungsgericht, B 2012/94).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