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2012/88 vom 13. November 2012</w:t>
      </w:r>
    </w:p>
    <w:p>
      <w:r>
        <w:t>SG Gerichte, 2012-11-13, DE</w:t>
      </w:r>
    </w:p>
    <w:p>
      <w:r>
        <w:rPr>
          <w:b/>
        </w:rPr>
        <w:t xml:space="preserve">Quelle: </w:t>
      </w:r>
      <w:r>
        <w:t>https://mcp.opencaselaw.ch/entscheid/sg_gerichte_B_2012_88</w:t>
      </w:r>
    </w:p>
    <w:p>
      <w:r>
        <w:t>FR: SG_GERICHTE B 2012/88 du 13 novembre 2012</w:t>
      </w:r>
    </w:p>
    <w:p>
      <w:r>
        <w:t>IT: SG_GERICHTE B 2012/88 del 13 novembre 2012</w:t>
      </w:r>
    </w:p>
    <w:p>
      <w:pPr>
        <w:pStyle w:val="Heading2"/>
      </w:pPr>
      <w:r>
        <w:t>Regeste</w:t>
      </w:r>
    </w:p>
    <w:p>
      <w:r>
        <w:t>Bau- und Planungsrecht, Immissionsschutz. Art. 84 Abs. 3, Art. 86 Abs. 1 und 2 BauG (sGS 731.1), Art. 684 ZGB (SR 210).Lichtimmissionen ausgehend von einer gegenüberliegenden Tiefgaragenausfahrt - Verhältnis zwischen dem öffentlichrechtlichen und privatrechtlichen Immissionsschutz. Entspricht das Bauvorhaben den massgebenden öffentlichrechtlichen Normen, und handelt es sich dabei um Vorschriften, die im Rahmen einer detaillierten, den Zielen und Planungsgrundsätzen des Raumplanungsrechts entsprechenden Bau- und Zonenordnung erlassen worden sind, kann in aller Regel verneint werden, dass eine übermässige Einwirkung im Sinne von Art. 684 ZGB vorliege (Verwaltungsgericht, B 2012/88).</w:t>
      </w:r>
    </w:p>
    <w:p>
      <w:pPr>
        <w:pStyle w:val="Heading2"/>
      </w:pPr>
      <w:r>
        <w:t>Volltext</w:t>
      </w:r>
    </w:p>
    <w:p>
      <w:r>
        <w:t>St.Gallen Verwaltungsgericht 13.11.2012 B 2012/88 Saint-Gall Verwaltungsgericht 13.11.2012 B 2012/88 San Gallo Verwaltungsgericht 13.11.2012 B 2012/88</w:t>
      </w:r>
    </w:p>
    <w:p>
      <w:r>
        <w:t>Bau- und Planungsrecht, Immissionsschutz. Art. 84 Abs. 3, Art. 86 Abs. 1 und 2 BauG (sGS 731.1), Art. 684 ZGB (SR 210).Lichtimmissionen ausgehend von einer gegenüberliegenden Tiefgaragenausfahrt - Verhältnis zwischen dem öffentlichrechtlichen und privatrechtlichen Immissionsschutz. Entspricht das Bauvorhaben den massgebenden öffentlichrechtlichen Normen, und handelt es sich dabei um Vorschriften, die im Rahmen einer detaillierten, den Zielen und Planungsgrundsätzen des Raumplanungsrechts entsprechenden Bau- und Zonenordnung erlassen worden sind, kann in aller Regel verneint werden, dass eine übermässige Einwirkung im Sinne von Art. 684 ZGB vorliege (Verwaltungsgericht, B 2012/88).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