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2011/59 vom 7. Dezember 2011</w:t>
      </w:r>
    </w:p>
    <w:p>
      <w:r>
        <w:t>SG Gerichte, 2011-12-07, DE</w:t>
      </w:r>
    </w:p>
    <w:p>
      <w:r>
        <w:rPr>
          <w:b/>
        </w:rPr>
        <w:t xml:space="preserve">Quelle: </w:t>
      </w:r>
      <w:r>
        <w:t>https://mcp.opencaselaw.ch/entscheid/sg_gerichte_B_2011_59</w:t>
      </w:r>
    </w:p>
    <w:p>
      <w:r>
        <w:t>FR: SG_GERICHTE B 2011/59 du 7 décembre 2011</w:t>
      </w:r>
    </w:p>
    <w:p>
      <w:r>
        <w:t>IT: SG_GERICHTE B 2011/59 del 7 dicembre 2011</w:t>
      </w:r>
    </w:p>
    <w:p>
      <w:pPr>
        <w:pStyle w:val="Heading2"/>
      </w:pPr>
      <w:r>
        <w:t>Regeste</w:t>
      </w:r>
    </w:p>
    <w:p>
      <w:r>
        <w:t>Steuerrecht, Art. 134 und Art. 136 StG (sGS 811.1). Wurde ein unüberbautes Grundstück verkauft, können keine Anlagekosten in Anrechnung gebracht werden, die für ein Gebäude angefallen sind; auch sonst erweist sich die Bemessung der Anlagekosten als korrekt (Verwaltungsgericht, B 2011/59).</w:t>
      </w:r>
    </w:p>
    <w:p>
      <w:pPr>
        <w:pStyle w:val="Heading2"/>
      </w:pPr>
      <w:r>
        <w:t>Volltext</w:t>
      </w:r>
    </w:p>
    <w:p>
      <w:r>
        <w:t>St.Gallen Verwaltungsgericht 07.12.2011 B 2011/59 Saint-Gall Verwaltungsgericht 07.12.2011 B 2011/59 San Gallo Verwaltungsgericht 07.12.2011 B 2011/59</w:t>
      </w:r>
    </w:p>
    <w:p>
      <w:r>
        <w:t>Steuerrecht, Art. 134 und Art. 136 StG (sGS 811.1). Wurde ein unüberbautes Grundstück verkauft, können keine Anlagekosten in Anrechnung gebracht werden, die für ein Gebäude angefallen sind; auch sonst erweist sich die Bemessung der Anlagekosten als korrekt (Verwaltungsgericht, B 2011/59).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