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2011/263 vom 12. April 2012</w:t>
      </w:r>
    </w:p>
    <w:p>
      <w:r>
        <w:t>SG Gerichte, 2012-04-12, DE</w:t>
      </w:r>
    </w:p>
    <w:p>
      <w:r>
        <w:rPr>
          <w:b/>
        </w:rPr>
        <w:t xml:space="preserve">Quelle: </w:t>
      </w:r>
      <w:r>
        <w:t>https://mcp.opencaselaw.ch/entscheid/sg_gerichte_B_2011_263</w:t>
      </w:r>
    </w:p>
    <w:p>
      <w:r>
        <w:t>FR: SG_GERICHTE B 2011/263 du 12 avril 2012</w:t>
      </w:r>
    </w:p>
    <w:p>
      <w:r>
        <w:t>IT: SG_GERICHTE B 2011/263 del 12 aprile 2012</w:t>
      </w:r>
    </w:p>
    <w:p>
      <w:pPr>
        <w:pStyle w:val="Heading2"/>
      </w:pPr>
      <w:r>
        <w:t>Regeste</w:t>
      </w:r>
    </w:p>
    <w:p>
      <w:r>
        <w:t>Ausländerrecht, Art. 47 Abs. 1 und 4 AuG (SR 142.20), Art. 73 Abs. 1 VZAE (SR 142.201), Art. 13 BV (SR 101), Art. 8 EMRK (SR 0.101) sowie Art. 3 und 12 KRK (SR 0.107).Die Nachzugsfristen gemäss Art. 47 Abs. 1 AuG und Art. 73 Abs. 1 VZAE sind als absolute Fristen zu verstehen. Für verpasste Nachzugsfristen hat der Bundesgesetzgeber in Art. 47 Abs. 4 AuG die Möglichkeit des nachträglichen Familiennachzugs bei Vorliegen von wichtigen familiären Gründen vorgesehen. Ein Gesuch um Familiennachzug eines Kindes, das kulturell wie sprachlich im Heimatland verwurzelt ist, dort noch Verwandte hat und fast die gesamte Schulzeit dort absolvierte sowie über eine gute Ausbildung verfügt, beinhaltet keinen wichtigen familiären Grund, wenn die Trennung sowie das Verpassen der Nachzugsfrist der Mutter anzulasten ist (Verwaltungsgericht, B 2011/263).</w:t>
      </w:r>
    </w:p>
    <w:p>
      <w:pPr>
        <w:pStyle w:val="Heading2"/>
      </w:pPr>
      <w:r>
        <w:t>Volltext</w:t>
      </w:r>
    </w:p>
    <w:p>
      <w:r>
        <w:t>St.Gallen Verwaltungsgericht 12.04.2012 B 2011/263 Saint-Gall Verwaltungsgericht 12.04.2012 B 2011/263 San Gallo Verwaltungsgericht 12.04.2012 B 2011/263</w:t>
      </w:r>
    </w:p>
    <w:p>
      <w:r>
        <w:t>Ausländerrecht, Art. 47 Abs. 1 und 4 AuG (SR 142.20), Art. 73 Abs. 1 VZAE (SR 142.201), Art. 13 BV (SR 101), Art. 8 EMRK (SR 0.101) sowie Art. 3 und 12 KRK (SR 0.107).Die Nachzugsfristen gemäss Art. 47 Abs. 1 AuG und Art. 73 Abs. 1 VZAE sind als absolute Fristen zu verstehen. Für verpasste Nachzugsfristen hat der Bundesgesetzgeber in Art. 47 Abs. 4 AuG die Möglichkeit des nachträglichen Familiennachzugs bei Vorliegen von wichtigen familiären Gründen vorgesehen. Ein Gesuch um Familiennachzug eines Kindes, das kulturell wie sprachlich im Heimatland verwurzelt ist, dort noch Verwandte hat und fast die gesamte Schulzeit dort absolvierte sowie über eine gute Ausbildung verfügt, beinhaltet keinen wichtigen familiären Grund, wenn die Trennung sowie das Verpassen der Nachzugsfrist der Mutter anzulasten ist (Verwaltungsgericht, B 2011/263).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