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2011/256 vom 12. April 2012</w:t>
      </w:r>
    </w:p>
    <w:p>
      <w:r>
        <w:t>SG Gerichte, 2012-04-12, DE</w:t>
      </w:r>
    </w:p>
    <w:p>
      <w:r>
        <w:rPr>
          <w:b/>
        </w:rPr>
        <w:t xml:space="preserve">Quelle: </w:t>
      </w:r>
      <w:r>
        <w:t>https://mcp.opencaselaw.ch/entscheid/sg_gerichte_B_2011_256</w:t>
      </w:r>
    </w:p>
    <w:p>
      <w:r>
        <w:t>FR: SG_GERICHTE B 2011/256 du 12 avril 2012</w:t>
      </w:r>
    </w:p>
    <w:p>
      <w:r>
        <w:t>IT: SG_GERICHTE B 2011/256 del 12 aprile 2012</w:t>
      </w:r>
    </w:p>
    <w:p>
      <w:pPr>
        <w:pStyle w:val="Heading2"/>
      </w:pPr>
      <w:r>
        <w:t>Regeste</w:t>
      </w:r>
    </w:p>
    <w:p>
      <w:r>
        <w:t>Verfahrensrecht, Art. 64 in Verbindung mit Art. 48 Abs. 1 VRP (sGS 951.1).Nur eine Begründung des grundsätzlichen Anspruchs auf Akteneinsicht genügen den Anforderungen an eine Beschwerde nicht, wenn dieser Anspruch durch die Vorinstanz grundsätzlich nicht vereint wurde. Der Beschwerdeführer hat sich mit dem angefochtenen Entscheid auseinanderzusetzen und darzulegen, inwiefern der vorinstanzliche Entscheid über das Fehlen eines aktuellen Rechtsschutzinteresses sowie über die Gegenstandslosigkeit des Rekurses falsch ist (Verwaltungsgericht, B 2011/256).</w:t>
      </w:r>
    </w:p>
    <w:p>
      <w:pPr>
        <w:pStyle w:val="Heading2"/>
      </w:pPr>
      <w:r>
        <w:t>Volltext</w:t>
      </w:r>
    </w:p>
    <w:p>
      <w:r>
        <w:t>St.Gallen Verwaltungsgericht 12.04.2012 B 2011/256 Saint-Gall Verwaltungsgericht 12.04.2012 B 2011/256 San Gallo Verwaltungsgericht 12.04.2012 B 2011/256</w:t>
      </w:r>
    </w:p>
    <w:p>
      <w:r>
        <w:t>Verfahrensrecht, Art. 64 in Verbindung mit Art. 48 Abs. 1 VRP (sGS 951.1).Nur eine Begründung des grundsätzlichen Anspruchs auf Akteneinsicht genügen den Anforderungen an eine Beschwerde nicht, wenn dieser Anspruch durch die Vorinstanz grundsätzlich nicht vereint wurde. Der Beschwerdeführer hat sich mit dem angefochtenen Entscheid auseinanderzusetzen und darzulegen, inwiefern der vorinstanzliche Entscheid über das Fehlen eines aktuellen Rechtsschutzinteresses sowie über die Gegenstandslosigkeit des Rekurses falsch ist (Verwaltungsgericht, B 2011/256).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