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2011/203 vom 20. März 2012</w:t>
      </w:r>
    </w:p>
    <w:p>
      <w:r>
        <w:t>SG Gerichte, 2012-03-20, DE</w:t>
      </w:r>
    </w:p>
    <w:p>
      <w:r>
        <w:rPr>
          <w:b/>
        </w:rPr>
        <w:t xml:space="preserve">Quelle: </w:t>
      </w:r>
      <w:r>
        <w:t>https://mcp.opencaselaw.ch/entscheid/sg_gerichte_B_2011_203</w:t>
      </w:r>
    </w:p>
    <w:p>
      <w:r>
        <w:t>FR: SG_GERICHTE B 2011/203 du 20 mars 2012</w:t>
      </w:r>
    </w:p>
    <w:p>
      <w:r>
        <w:t>IT: SG_GERICHTE B 2011/203 del 20 marzo 2012</w:t>
      </w:r>
    </w:p>
    <w:p>
      <w:pPr>
        <w:pStyle w:val="Heading2"/>
      </w:pPr>
      <w:r>
        <w:t>Regeste</w:t>
      </w:r>
    </w:p>
    <w:p>
      <w:r>
        <w:t>Steuerrecht, Art. 145 Abs. 2 in Verbindung mit Art. 143 Abs. 1, Art. 167 Abs. 1 DBG (SR 642.11) sowie Art. 10 und 15 Steuererlassverordnung (SR 642.121).In steuerrechtlichen Beschwerdeverfahren sind aufgrund von Art. 145 Abs. 2 in Verbindung mit Art. 143 Abs. 1 DBG neue tatsächliche Ausführungen und Aktenstücke selbst dann zu berücksichtigen, wenn sie bereits vor der Vorinstanz hätten vorgebracht werden können.Ein Steuererlass aufgrund einer selbstverschuldeten Überschuldung, die nicht Folge von ausserordentlichen Aufwendungen aufgrund der persönlichen Verhältnisse ist, ist nur in demselben prozentualen Umfang möglich, in dem andere Gläubiger auf ihre Forderungen verzichten (Grundsatz der Opfersymmetrie). Bei einem aussergerichtlichen Nachlassvertrag ist deswegen ein Steuererlass nur möglich, wenn sämtliche Gläubiger oder die Mehrheit der übrigen gleichrangigen Gläubiger, die mindestens die Hälfte der Forderungen dritter Klasse besitzen, unwiderruflich und mit einem einheitlichen prozentualen Verzicht auf einen Teil ihrer Forderungen verzichten. Andernfalls wird nicht der Steuerpflichtige, sondern einzelne Gläubiger bevorzugt (Verwaltungsgericht, B 2011/203).</w:t>
      </w:r>
    </w:p>
    <w:p>
      <w:pPr>
        <w:pStyle w:val="Heading2"/>
      </w:pPr>
      <w:r>
        <w:t>Volltext</w:t>
      </w:r>
    </w:p>
    <w:p>
      <w:r>
        <w:t>St.Gallen Verwaltungsgericht 20.03.2012 B 2011/203 Saint-Gall Verwaltungsgericht 20.03.2012 B 2011/203 San Gallo Verwaltungsgericht 20.03.2012 B 2011/203</w:t>
      </w:r>
    </w:p>
    <w:p>
      <w:r>
        <w:t>Steuerrecht, Art. 145 Abs. 2 in Verbindung mit Art. 143 Abs. 1, Art. 167 Abs. 1 DBG (SR 642.11) sowie Art. 10 und 15 Steuererlassverordnung (SR 642.121).In steuerrechtlichen Beschwerdeverfahren sind aufgrund von Art. 145 Abs. 2 in Verbindung mit Art. 143 Abs. 1 DBG neue tatsächliche Ausführungen und Aktenstücke selbst dann zu berücksichtigen, wenn sie bereits vor der Vorinstanz hätten vorgebracht werden können.Ein Steuererlass aufgrund einer selbstverschuldeten Überschuldung, die nicht Folge von ausserordentlichen Aufwendungen aufgrund der persönlichen Verhältnisse ist, ist nur in demselben prozentualen Umfang möglich, in dem andere Gläubiger auf ihre Forderungen verzichten (Grundsatz der Opfersymmetrie). Bei einem aussergerichtlichen Nachlassvertrag ist deswegen ein Steuererlass nur möglich, wenn sämtliche Gläubiger oder die Mehrheit der übrigen gleichrangigen Gläubiger, die mindestens die Hälfte der Forderungen dritter Klasse besitzen, unwiderruflich und mit einem einheitlichen prozentualen Verzicht auf einen Teil ihrer Forderungen verzichten. Andernfalls wird nicht der Steuerpflichtige, sondern einzelne Gläubiger bevorzugt (Verwaltungsgericht, B 2011/203).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