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2011/115 vom 18. Oktober 2011</w:t>
      </w:r>
    </w:p>
    <w:p>
      <w:r>
        <w:t>SG Gerichte, 2011-10-18, DE</w:t>
      </w:r>
    </w:p>
    <w:p>
      <w:r>
        <w:rPr>
          <w:b/>
        </w:rPr>
        <w:t xml:space="preserve">Quelle: </w:t>
      </w:r>
      <w:r>
        <w:t>https://mcp.opencaselaw.ch/entscheid/sg_gerichte_B_2011_115</w:t>
      </w:r>
    </w:p>
    <w:p>
      <w:r>
        <w:t>FR: SG_GERICHTE B 2011/115 du 18 octobre 2011</w:t>
      </w:r>
    </w:p>
    <w:p>
      <w:r>
        <w:t>IT: SG_GERICHTE B 2011/115 del 18 ottobre 2011</w:t>
      </w:r>
    </w:p>
    <w:p>
      <w:pPr>
        <w:pStyle w:val="Heading2"/>
      </w:pPr>
      <w:r>
        <w:t>Regeste</w:t>
      </w:r>
    </w:p>
    <w:p>
      <w:r>
        <w:t>Strassenverkehrsrecht, Art. 16c Abs. 1 lit. a SVG (SR 741.01). Bindung der Administrativbehörde an das Strafurteil; ein Ausweisentzug von fünf Monaten ist bei einer massiven Überschreitung der zulässigen Höchstgeschwindigkeit sowie einer weiteren Verkehrsregelverletzung nicht zu beanstanden (Verwaltungsgericht, B 2011/115).</w:t>
      </w:r>
    </w:p>
    <w:p>
      <w:pPr>
        <w:pStyle w:val="Heading2"/>
      </w:pPr>
      <w:r>
        <w:t>Volltext</w:t>
      </w:r>
    </w:p>
    <w:p>
      <w:r>
        <w:t>St.Gallen Verwaltungsgericht 18.10.2011 B 2011/115 Saint-Gall Verwaltungsgericht 18.10.2011 B 2011/115 San Gallo Verwaltungsgericht 18.10.2011 B 2011/115</w:t>
      </w:r>
    </w:p>
    <w:p>
      <w:r>
        <w:t>Strassenverkehrsrecht, Art. 16c Abs. 1 lit. a SVG (SR 741.01). Bindung der Administrativbehörde an das Strafurteil; ein Ausweisentzug von fünf Monaten ist bei einer massiven Überschreitung der zulässigen Höchstgeschwindigkeit sowie einer weiteren Verkehrsregelverletzung nicht zu beanstanden (Verwaltungsgericht, B 2011/115).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