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2011/100 vom 20. September 2011</w:t>
      </w:r>
    </w:p>
    <w:p>
      <w:r>
        <w:t>SG Gerichte, 2011-09-20, DE</w:t>
      </w:r>
    </w:p>
    <w:p>
      <w:r>
        <w:rPr>
          <w:b/>
        </w:rPr>
        <w:t xml:space="preserve">Quelle: </w:t>
      </w:r>
      <w:r>
        <w:t>https://mcp.opencaselaw.ch/entscheid/sg_gerichte_B_2011_100</w:t>
      </w:r>
    </w:p>
    <w:p>
      <w:r>
        <w:t>FR: SG_GERICHTE B 2011/100 du 20 septembre 2011</w:t>
      </w:r>
    </w:p>
    <w:p>
      <w:r>
        <w:t>IT: SG_GERICHTE B 2011/100 del 20 settembre 2011</w:t>
      </w:r>
    </w:p>
    <w:p>
      <w:pPr>
        <w:pStyle w:val="Heading2"/>
      </w:pPr>
      <w:r>
        <w:t>Regeste</w:t>
      </w:r>
    </w:p>
    <w:p>
      <w:r>
        <w:t>Steuerrecht, Art. 180 Abs. 1 StG (sGS 811.1). Bei einem Nachsendeauftrag sind die an der angegebenen Adresse wohnenden Personen als zur Entgegennahme einer Postsendung berechtigt anzusehen. Die Feststellungsverfügung gilt deshalb am Tag der Entgegennahme durch den Vater als zugestellt, und die Einsprache erweist sich als verspätet (Verwaltungsgericht, B 2011/100).</w:t>
      </w:r>
    </w:p>
    <w:p>
      <w:pPr>
        <w:pStyle w:val="Heading2"/>
      </w:pPr>
      <w:r>
        <w:t>Volltext</w:t>
      </w:r>
    </w:p>
    <w:p>
      <w:r>
        <w:t>St.Gallen Verwaltungsgericht 20.09.2011 B 2011/100 Saint-Gall Verwaltungsgericht 20.09.2011 B 2011/100 San Gallo Verwaltungsgericht 20.09.2011 B 2011/100</w:t>
      </w:r>
    </w:p>
    <w:p>
      <w:r>
        <w:t>Steuerrecht, Art. 180 Abs. 1 StG (sGS 811.1). Bei einem Nachsendeauftrag sind die an der angegebenen Adresse wohnenden Personen als zur Entgegennahme einer Postsendung berechtigt anzusehen. Die Feststellungsverfügung gilt deshalb am Tag der Entgegennahme durch den Vater als zugestellt, und die Einsprache erweist sich als verspätet (Verwaltungsgericht, B 2011/100).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