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2010/81 vom 8. Juni 2010</w:t>
      </w:r>
    </w:p>
    <w:p>
      <w:r>
        <w:t>SG Gerichte, 2010-06-08, DE</w:t>
      </w:r>
    </w:p>
    <w:p>
      <w:r>
        <w:rPr>
          <w:b/>
        </w:rPr>
        <w:t xml:space="preserve">Quelle: </w:t>
      </w:r>
      <w:r>
        <w:t>https://mcp.opencaselaw.ch/entscheid/sg_gerichte_B_2010_81</w:t>
      </w:r>
    </w:p>
    <w:p>
      <w:r>
        <w:t>FR: SG_GERICHTE B 2010/81 du 8 juin 2010</w:t>
      </w:r>
    </w:p>
    <w:p>
      <w:r>
        <w:t>IT: SG_GERICHTE B 2010/81 del 8 giugno 2010</w:t>
      </w:r>
    </w:p>
    <w:p>
      <w:pPr>
        <w:pStyle w:val="Heading2"/>
      </w:pPr>
      <w:r>
        <w:t>Regeste</w:t>
      </w:r>
    </w:p>
    <w:p>
      <w:r>
        <w:t>Volksschule, Schülertransport, Art. 19 und 20 VSG (sGS 213.1). Es verletzt den Grundsatz der Rechtsgleichheit nicht, wenn die Schulgemeinde für Kindergärtler, die erst ab der zweiten Morgenlektion den Kindergarten besuchen und damit im ersten Kindergartenjahr ein Privileg hinsichtlich der Geltung der Blockzeiten in Anspruch nehmen, keinen Schülertransport durchführt (Verwaltungsgericht, B 2010/81).</w:t>
      </w:r>
    </w:p>
    <w:p>
      <w:pPr>
        <w:pStyle w:val="Heading2"/>
      </w:pPr>
      <w:r>
        <w:t>Volltext</w:t>
      </w:r>
    </w:p>
    <w:p>
      <w:r>
        <w:t>St.Gallen Verwaltungsgericht 08.06.2010 B 2010/81 Saint-Gall Verwaltungsgericht 08.06.2010 B 2010/81 San Gallo Verwaltungsgericht 08.06.2010 B 2010/81</w:t>
      </w:r>
    </w:p>
    <w:p>
      <w:r>
        <w:t>Volksschule, Schülertransport, Art. 19 und 20 VSG (sGS 213.1). Es verletzt den Grundsatz der Rechtsgleichheit nicht, wenn die Schulgemeinde für Kindergärtler, die erst ab der zweiten Morgenlektion den Kindergarten besuchen und damit im ersten Kindergartenjahr ein Privileg hinsichtlich der Geltung der Blockzeiten in Anspruch nehmen, keinen Schülertransport durchführt (Verwaltungsgericht, B 2010/81).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