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2010/29 vom 15. April 2010</w:t>
      </w:r>
    </w:p>
    <w:p>
      <w:r>
        <w:t>SG Gerichte, 2010-04-15, DE</w:t>
      </w:r>
    </w:p>
    <w:p>
      <w:r>
        <w:rPr>
          <w:b/>
        </w:rPr>
        <w:t xml:space="preserve">Quelle: </w:t>
      </w:r>
      <w:r>
        <w:t>https://mcp.opencaselaw.ch/entscheid/sg_gerichte_B_2010_29</w:t>
      </w:r>
    </w:p>
    <w:p>
      <w:r>
        <w:t>FR: SG_GERICHTE B 2010/29 du 15 avril 2010</w:t>
      </w:r>
    </w:p>
    <w:p>
      <w:r>
        <w:t>IT: SG_GERICHTE B 2010/29 del 15 aprile 2010</w:t>
      </w:r>
    </w:p>
    <w:p>
      <w:pPr>
        <w:pStyle w:val="Heading2"/>
      </w:pPr>
      <w:r>
        <w:t>Regeste</w:t>
      </w:r>
    </w:p>
    <w:p>
      <w:r>
        <w:t>Strassenverkehrsrecht, Art. 16a Abs. 1 lit. a und Art. 16b Abs. 1 lit. a SVG (SR 741.01). Keine leichte, sondern mittelschwere Verkehrsregelverletzung durch Missachten des Vortritts eines auf dem Radstreifen fahrenden Radfahrers beim Rechtsabbiegen, Führerausweisentzug von einem Monat bestätigt (Verwaltungsgericht, B 2010/29).</w:t>
      </w:r>
    </w:p>
    <w:p>
      <w:pPr>
        <w:pStyle w:val="Heading2"/>
      </w:pPr>
      <w:r>
        <w:t>Volltext</w:t>
      </w:r>
    </w:p>
    <w:p>
      <w:r>
        <w:t>St.Gallen Verwaltungsgericht 15.04.2010 B 2010/29 Saint-Gall Verwaltungsgericht 15.04.2010 B 2010/29 San Gallo Verwaltungsgericht 15.04.2010 B 2010/29</w:t>
      </w:r>
    </w:p>
    <w:p>
      <w:r>
        <w:t>Strassenverkehrsrecht, Art. 16a Abs. 1 lit. a und Art. 16b Abs. 1 lit. a SVG (SR 741.01). Keine leichte, sondern mittelschwere Verkehrsregelverletzung durch Missachten des Vortritts eines auf dem Radstreifen fahrenden Radfahrers beim Rechtsabbiegen, Führerausweisentzug von einem Monat bestätigt (Verwaltungsgericht, B 2010/29).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