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2009/70 vom 19. August 2009</w:t>
      </w:r>
    </w:p>
    <w:p>
      <w:r>
        <w:t>SG Gerichte, 2009-08-19, DE</w:t>
      </w:r>
    </w:p>
    <w:p>
      <w:r>
        <w:rPr>
          <w:b/>
        </w:rPr>
        <w:t xml:space="preserve">Quelle: </w:t>
      </w:r>
      <w:r>
        <w:t>https://mcp.opencaselaw.ch/entscheid/sg_gerichte_B_2009_70</w:t>
      </w:r>
    </w:p>
    <w:p>
      <w:r>
        <w:t>FR: SG_GERICHTE B 2009/70 du 19 août 2009</w:t>
      </w:r>
    </w:p>
    <w:p>
      <w:r>
        <w:t>IT: SG_GERICHTE B 2009/70 del 19 agosto 2009</w:t>
      </w:r>
    </w:p>
    <w:p>
      <w:pPr>
        <w:pStyle w:val="Heading2"/>
      </w:pPr>
      <w:r>
        <w:t>Regeste</w:t>
      </w:r>
    </w:p>
    <w:p>
      <w:r>
        <w:t>Ausländerrecht, Art. 42 Abs. 1 und Art. 50 Abs. 1 lit. a AuG (SR 142.20). Rechtmässigkeit des Widerrufs der Aufenthaltsbewilligung eines mit einer Schweizerin verheirateten Staatsangehörigen aus Kosovo nach Trennung der Ehe. Im konkreten Fall vermochte ein gemeinsam unterzeichneter Mietvertrag für eine Wohnung die Wiederaufnahme der ehelichen Gemeinschaft nicht nachzuweisen (Verwaltungsgericht, B 2009/70).</w:t>
      </w:r>
    </w:p>
    <w:p>
      <w:pPr>
        <w:pStyle w:val="Heading2"/>
      </w:pPr>
      <w:r>
        <w:t>Volltext</w:t>
      </w:r>
    </w:p>
    <w:p>
      <w:r>
        <w:t>St.Gallen Verwaltungsgericht 19.08.2009 B 2009/70 Saint-Gall Verwaltungsgericht 19.08.2009 B 2009/70 San Gallo Verwaltungsgericht 19.08.2009 B 2009/70</w:t>
      </w:r>
    </w:p>
    <w:p>
      <w:r>
        <w:t>Ausländerrecht, Art. 42 Abs. 1 und Art. 50 Abs. 1 lit. a AuG (SR 142.20). Rechtmässigkeit des Widerrufs der Aufenthaltsbewilligung eines mit einer Schweizerin verheirateten Staatsangehörigen aus Kosovo nach Trennung der Ehe. Im konkreten Fall vermochte ein gemeinsam unterzeichneter Mietvertrag für eine Wohnung die Wiederaufnahme der ehelichen Gemeinschaft nicht nachzuweisen (Verwaltungsgericht, B 2009/70).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