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2009/213 vom 24. Februar 2010</w:t>
      </w:r>
    </w:p>
    <w:p>
      <w:r>
        <w:t>SG Gerichte, 2010-02-24, DE</w:t>
      </w:r>
    </w:p>
    <w:p>
      <w:r>
        <w:rPr>
          <w:b/>
        </w:rPr>
        <w:t xml:space="preserve">Quelle: </w:t>
      </w:r>
      <w:r>
        <w:t>https://mcp.opencaselaw.ch/entscheid/sg_gerichte_B_2009_213</w:t>
      </w:r>
    </w:p>
    <w:p>
      <w:r>
        <w:t>FR: SG_GERICHTE B 2009/213 du 24 février 2010</w:t>
      </w:r>
    </w:p>
    <w:p>
      <w:r>
        <w:t>IT: SG_GERICHTE B 2009/213 del 24 febbraio 2010</w:t>
      </w:r>
    </w:p>
    <w:p>
      <w:pPr>
        <w:pStyle w:val="Heading2"/>
      </w:pPr>
      <w:r>
        <w:t>Regeste</w:t>
      </w:r>
    </w:p>
    <w:p>
      <w:r>
        <w:t>Strassenverkehrsrecht, Art. 15a Abs. 4 SVG (SR 741.01). Der zweite Ausweisentzug innerhalb der Probezeit führt zwingend zum Verfall des Führerausweises, ob der Entzug auf einer leichten, einer mittelschweren oder einer schweren Verkehrsregelverletzung beruht (Verwaltungsgericht, B 2009/213).</w:t>
      </w:r>
    </w:p>
    <w:p>
      <w:pPr>
        <w:pStyle w:val="Heading2"/>
      </w:pPr>
      <w:r>
        <w:t>Volltext</w:t>
      </w:r>
    </w:p>
    <w:p>
      <w:r>
        <w:t>St.Gallen Verwaltungsgericht 24.02.2010 B 2009/213 Saint-Gall Verwaltungsgericht 24.02.2010 B 2009/213 San Gallo Verwaltungsgericht 24.02.2010 B 2009/213</w:t>
      </w:r>
    </w:p>
    <w:p>
      <w:r>
        <w:t>Strassenverkehrsrecht, Art. 15a Abs. 4 SVG (SR 741.01). Der zweite Ausweisentzug innerhalb der Probezeit führt zwingend zum Verfall des Führerausweises, ob der Entzug auf einer leichten, einer mittelschweren oder einer schweren Verkehrsregelverletzung beruht (Verwaltungsgericht, B 2009/213).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